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440" w:right="236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Grupo Aeroméxico, S.A.B. de C.V.</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 w:type="dxa"/>
        <w:tblCellMar>
          <w:top w:w="0" w:type="dxa"/>
          <w:left w:w="0" w:type="dxa"/>
          <w:bottom w:w="0" w:type="dxa"/>
          <w:right w:w="0" w:type="dxa"/>
        </w:tblCellMar>
      </w:tblPr>
      <w:tr>
        <w:trPr>
          <w:trHeight w:val="214"/>
        </w:trPr>
        <w:tc>
          <w:tcPr>
            <w:tcW w:w="61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United Mexican States</w:t>
            </w:r>
          </w:p>
        </w:tc>
        <w:tc>
          <w:tcPr>
            <w:tcW w:w="124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None</w:t>
            </w:r>
          </w:p>
        </w:tc>
      </w:tr>
      <w:tr>
        <w:trPr>
          <w:trHeight w:val="190"/>
        </w:trPr>
        <w:tc>
          <w:tcPr>
            <w:tcW w:w="610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320" w:type="dxa"/>
            <w:vAlign w:val="bottom"/>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61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Avenida Paseo de la Reforma 243, 25th Floor</w:t>
            </w: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61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Col. Renacimiento, Cuauhtémoc 06500</w:t>
            </w: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4020" w:type="dxa"/>
            <w:vAlign w:val="bottom"/>
            <w:gridSpan w:val="2"/>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Mexico City</w:t>
            </w: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7"/>
        </w:trPr>
        <w:tc>
          <w:tcPr>
            <w:tcW w:w="61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United Mexican States</w:t>
            </w:r>
          </w:p>
        </w:tc>
        <w:tc>
          <w:tcPr>
            <w:tcW w:w="2960" w:type="dxa"/>
            <w:vAlign w:val="bottom"/>
            <w:gridSpan w:val="2"/>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rPr>
              <w:t>06500</w:t>
            </w:r>
          </w:p>
        </w:tc>
        <w:tc>
          <w:tcPr>
            <w:tcW w:w="360" w:type="dxa"/>
            <w:vAlign w:val="bottom"/>
          </w:tcPr>
          <w:p>
            <w:pPr>
              <w:spacing w:after="0"/>
              <w:rPr>
                <w:sz w:val="19"/>
                <w:szCs w:val="19"/>
                <w:color w:val="auto"/>
              </w:rPr>
            </w:pPr>
          </w:p>
        </w:tc>
      </w:tr>
      <w:tr>
        <w:trPr>
          <w:trHeight w:val="190"/>
        </w:trPr>
        <w:tc>
          <w:tcPr>
            <w:tcW w:w="610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2080" w:type="dxa"/>
            <w:vAlign w:val="bottom"/>
          </w:tcPr>
          <w:p>
            <w:pPr>
              <w:spacing w:after="0"/>
              <w:rPr>
                <w:sz w:val="24"/>
                <w:szCs w:val="24"/>
                <w:color w:val="auto"/>
              </w:rPr>
            </w:pPr>
          </w:p>
        </w:tc>
        <w:tc>
          <w:tcPr>
            <w:tcW w:w="73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2080" w:type="dxa"/>
            <w:vAlign w:val="bottom"/>
          </w:tcPr>
          <w:p>
            <w:pPr>
              <w:spacing w:after="0"/>
              <w:rPr>
                <w:sz w:val="24"/>
                <w:szCs w:val="24"/>
                <w:color w:val="auto"/>
              </w:rPr>
            </w:pPr>
          </w:p>
        </w:tc>
        <w:tc>
          <w:tcPr>
            <w:tcW w:w="4020" w:type="dxa"/>
            <w:vAlign w:val="bottom"/>
            <w:gridSpan w:val="2"/>
          </w:tcPr>
          <w:p>
            <w:pPr>
              <w:jc w:val="center"/>
              <w:ind w:right="29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2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2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900" w:type="dxa"/>
            <w:vAlign w:val="bottom"/>
          </w:tcPr>
          <w:p>
            <w:pPr>
              <w:spacing w:after="0"/>
              <w:rPr>
                <w:sz w:val="15"/>
                <w:szCs w:val="15"/>
                <w:color w:val="auto"/>
              </w:rPr>
            </w:pPr>
          </w:p>
        </w:tc>
        <w:tc>
          <w:tcPr>
            <w:tcW w:w="3320" w:type="dxa"/>
            <w:vAlign w:val="bottom"/>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20"/>
        </w:trPr>
        <w:tc>
          <w:tcPr>
            <w:tcW w:w="2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7"/>
        </w:trPr>
        <w:tc>
          <w:tcPr>
            <w:tcW w:w="6100" w:type="dxa"/>
            <w:vAlign w:val="bottom"/>
            <w:gridSpan w:val="3"/>
          </w:tcPr>
          <w:p>
            <w:pPr>
              <w:jc w:val="center"/>
              <w:ind w:right="840"/>
              <w:spacing w:after="0" w:line="188" w:lineRule="exact"/>
              <w:rPr>
                <w:sz w:val="20"/>
                <w:szCs w:val="20"/>
                <w:color w:val="auto"/>
              </w:rPr>
            </w:pPr>
            <w:r>
              <w:rPr>
                <w:rFonts w:ascii="Times New Roman" w:cs="Times New Roman" w:eastAsia="Times New Roman" w:hAnsi="Times New Roman"/>
                <w:sz w:val="18"/>
                <w:szCs w:val="18"/>
                <w:b w:val="1"/>
                <w:bCs w:val="1"/>
                <w:color w:val="auto"/>
              </w:rPr>
              <w:t>American Depositary Shares (“ADS”) each representing 10 common</w:t>
            </w:r>
          </w:p>
        </w:tc>
        <w:tc>
          <w:tcPr>
            <w:tcW w:w="3320" w:type="dxa"/>
            <w:vAlign w:val="bottom"/>
            <w:gridSpan w:val="3"/>
          </w:tcPr>
          <w:p>
            <w:pPr>
              <w:jc w:val="center"/>
              <w:ind w:left="779"/>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r>
      <w:tr>
        <w:trPr>
          <w:trHeight w:val="216"/>
        </w:trPr>
        <w:tc>
          <w:tcPr>
            <w:tcW w:w="2080" w:type="dxa"/>
            <w:vAlign w:val="bottom"/>
          </w:tcPr>
          <w:p>
            <w:pPr>
              <w:spacing w:after="0"/>
              <w:rPr>
                <w:sz w:val="18"/>
                <w:szCs w:val="18"/>
                <w:color w:val="auto"/>
              </w:rPr>
            </w:pPr>
          </w:p>
        </w:tc>
        <w:tc>
          <w:tcPr>
            <w:tcW w:w="4020" w:type="dxa"/>
            <w:vAlign w:val="bottom"/>
            <w:gridSpan w:val="2"/>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61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Common shares without nominal value*</w:t>
            </w:r>
          </w:p>
        </w:tc>
        <w:tc>
          <w:tcPr>
            <w:tcW w:w="3320" w:type="dxa"/>
            <w:vAlign w:val="bottom"/>
            <w:gridSpan w:val="3"/>
          </w:tcPr>
          <w:p>
            <w:pPr>
              <w:jc w:val="center"/>
              <w:ind w:left="779"/>
              <w:spacing w:after="0"/>
              <w:rPr>
                <w:sz w:val="20"/>
                <w:szCs w:val="20"/>
                <w:color w:val="auto"/>
              </w:rPr>
            </w:pPr>
            <w:r>
              <w:rPr>
                <w:rFonts w:ascii="Times New Roman" w:cs="Times New Roman" w:eastAsia="Times New Roman" w:hAnsi="Times New Roman"/>
                <w:sz w:val="18"/>
                <w:szCs w:val="18"/>
                <w:b w:val="1"/>
                <w:bCs w:val="1"/>
                <w:color w:val="auto"/>
                <w:w w:val="98"/>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24"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of the ADSs on the New York Stock Exchange. Each ADS represents the right to receive ten common shares and are being registered under the Securities Act of 1933, as amended, pursuant to a separate Registration Statement on Form F-6. Accordingly, the ADSs are exempt from the operation of Section 12(a) of the Securities Exchange Act of 1934, as amended, pursuant to Rule 12a-8.</w:t>
      </w:r>
    </w:p>
    <w:p>
      <w:pPr>
        <w:spacing w:after="0" w:line="180" w:lineRule="exact"/>
        <w:rPr>
          <w:sz w:val="24"/>
          <w:szCs w:val="24"/>
          <w:color w:val="auto"/>
        </w:rPr>
      </w:pPr>
    </w:p>
    <w:p>
      <w:pPr>
        <w:ind w:left="4" w:right="7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7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 333-279379.</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376" w:right="4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IN REGISTRATION STATEMENT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class of securities to be registered hereby are the common shares without nominal value, of Grupo Aeroméxico S.A.B. de C.V., a s</w:t>
      </w:r>
      <w:r>
        <w:rPr>
          <w:rFonts w:ascii="Times New Roman" w:cs="Times New Roman" w:eastAsia="Times New Roman" w:hAnsi="Times New Roman"/>
          <w:sz w:val="18"/>
          <w:szCs w:val="18"/>
          <w:i w:val="1"/>
          <w:iCs w:val="1"/>
          <w:color w:val="auto"/>
        </w:rPr>
        <w:t>ociedad anónima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bursátil de capital variable </w:t>
      </w:r>
      <w:r>
        <w:rPr>
          <w:rFonts w:ascii="Times New Roman" w:cs="Times New Roman" w:eastAsia="Times New Roman" w:hAnsi="Times New Roman"/>
          <w:sz w:val="18"/>
          <w:szCs w:val="18"/>
          <w:color w:val="auto"/>
        </w:rPr>
        <w:t>organized under the laws of Mexico (the “Registrant”). The description of the securities to be registered set forth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American Depositary Shares</w:t>
      </w:r>
      <w:r>
        <w:rPr>
          <w:rFonts w:ascii="Times New Roman" w:cs="Times New Roman" w:eastAsia="Times New Roman" w:hAnsi="Times New Roman"/>
          <w:sz w:val="18"/>
          <w:szCs w:val="18"/>
          <w:color w:val="auto"/>
        </w:rPr>
        <w:t>” included in the Registrant’s Registration Statement on Form F-1 (File No. 333-279379), originally filed with the Securities and Exchange Commission on May 13, 2024, as amended by any amendments to such Registration Statement, and by any prospectus subsequently filed pursuant to Rule 424(b) under the Securities Act of 1933, as amended, shall be deemed to be incorporated by reference herein.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because no other securities of the Company are registered on The New York Stock Exchange and the securities registered hereby are not being registered pursuant to Section 12(g) of the Securities Exchange Act of 1934, as amended.</w:t>
      </w:r>
    </w:p>
    <w:p>
      <w:pPr>
        <w:sectPr>
          <w:pgSz w:w="11900" w:h="16838" w:orient="portrait"/>
          <w:cols w:equalWidth="0" w:num="1">
            <w:col w:w="11000"/>
          </w:cols>
          <w:pgMar w:left="440" w:top="266"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Grupo Aeroméxico, S.A.B. de C.V.</w:t>
      </w:r>
    </w:p>
    <w:p>
      <w:pPr>
        <w:spacing w:after="0" w:line="31"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Ricardo Javier Sánchez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5715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8"/>
          <w:szCs w:val="18"/>
          <w:color w:val="auto"/>
        </w:rPr>
        <w:t>Name: Ricardo Javier Sánchez Baker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2025-11-03T08:06:00Z</dcterms:created>
  <dcterms:modified xsi:type="dcterms:W3CDTF">2025-11-03T08:06:00Z</dcterms:modified>
</cp:coreProperties>
</file>