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Commission File Number: 001-42931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43"/>
          <w:szCs w:val="43"/>
          <w:b w:val="1"/>
          <w:bCs w:val="1"/>
          <w:color w:val="auto"/>
        </w:rPr>
        <w:t>Grupo Aeroméxico, S.A.B. de C.V.</w:t>
      </w:r>
    </w:p>
    <w:p>
      <w:pPr>
        <w:spacing w:after="0" w:line="5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(Name of registrant)</w:t>
      </w:r>
    </w:p>
    <w:p>
      <w:pPr>
        <w:spacing w:after="0" w:line="172"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43"/>
          <w:szCs w:val="43"/>
          <w:b w:val="1"/>
          <w:bCs w:val="1"/>
          <w:color w:val="auto"/>
        </w:rPr>
        <w:t>Aeromexico Group</w:t>
      </w:r>
    </w:p>
    <w:p>
      <w:pPr>
        <w:spacing w:after="0" w:line="5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Avenida Paseo de la Reforma 243, 25th Floor</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Col. Renacimiento, Cuauhtémoc 06500</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Mexico City</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United Mexican States</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+52 (55) 9132 4000</w:t>
      </w:r>
    </w:p>
    <w:p>
      <w:pPr>
        <w:spacing w:after="0" w:line="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37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579"/>
          </w:cols>
          <w:pgMar w:left="88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On November 12, 2025, Grupo Aeroméxico, S.A.B. de C.V. (the “Company”) issued its Condensed Consolidated Interim Financial Statements (Unaudited), as of September 30, 2025 and December 31, 2024 and for the nine-month periods ended September 30, 2025 and 2024 (the “Interim Financial Statements”). A copy of these Interim Financial Statements is furnished with this Form 6-K as Exhibit 99.1.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Interim Financial Statements contain certain forward-looking statements, within the meaning of the Private Securities Litigation Reform Act,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Important factors that could cause such differences include, but are not limited to: external risks, including health threats, accidents, global instability, security breaches, terrorism and natural disasters; Mexican and international economic conditions, as well as seasonality, on customer travel behavior; the current U.S.’s administration tariffs on the Company’s costs and the actions of other governmental authorities in Mexico, the U.S. and other countries; fuel market volatility; the Company’s capacity to fulfill the Company’s fixed obligations, obtain financing and/or maintain liquidity; the Company’s capacity to retain and attract key personnel and other professionals, and the Company’s labor relations with employees; the Company’s reliance on few aircraft manufacturers and other third-party providers; the Company’s aircraft utilization rate and aircraft maintenance costs; changes in landing charges, airport access fees and inadequate airport infrastructure; consumer protection restrictions; dependence on the Company’s main hub, MEX; air traffic congestion; the competitive environment in the aviation industry, including those arising from non-air travel substitutes; sanctions and compliance with anti-corruption, anti-money laundering, anti-drug trafficking and other ethical rules and standards; reliance on partnerships and alliances and challenges in entering into new ones; and other factors described in “Risk Factors” of the Company’s final prospectus dated as of November 5, 2025 relating to its initial public offering and other documents filed with or furnished to the SEC from time to time. Forward-looking statements are based on information available at the time those statements are made and/or management’s good faith belief as of that time with respect to future events. The Company is under no obligation and expressly disclaims any intention or obligation to update or revise any forward-looking statements, whether as a result of new information, future events or otherwise.</w:t>
      </w:r>
    </w:p>
    <w:p>
      <w:pPr>
        <w:sectPr>
          <w:pgSz w:w="11900" w:h="16838" w:orient="portrait"/>
          <w:cols w:equalWidth="0" w:num="1">
            <w:col w:w="10980"/>
          </w:cols>
          <w:pgMar w:left="440" w:top="266" w:right="479" w:bottom="1440" w:gutter="0" w:footer="0" w:header="0"/>
        </w:sectPr>
      </w:pPr>
    </w:p>
    <w:bookmarkStart w:id="2" w:name="page3"/>
    <w:bookmarkEnd w:id="2"/>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15240</wp:posOffset>
            </wp:positionV>
            <wp:extent cx="6454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93" w:lineRule="exact"/>
        <w:rPr>
          <w:sz w:val="20"/>
          <w:szCs w:val="20"/>
          <w:color w:val="auto"/>
        </w:rPr>
      </w:pPr>
    </w:p>
    <w:p>
      <w:pPr>
        <w:ind w:left="84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Condensed Consolidated Interim Financial Statements (Unaudited), as of September 30, 2025 and December 31, 2024 and for the nine-month periods ended September 30, 2025 and 2024.</w:t>
      </w:r>
    </w:p>
    <w:p>
      <w:pPr>
        <w:sectPr>
          <w:pgSz w:w="11900" w:h="16838" w:orient="portrait"/>
          <w:cols w:equalWidth="0" w:num="1">
            <w:col w:w="10600"/>
          </w:cols>
          <w:pgMar w:left="440" w:top="266" w:right="85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Grupo Aeroméxico, S.A.B. de C.V.</w:t>
      </w:r>
    </w:p>
    <w:p>
      <w:pPr>
        <w:spacing w:after="0" w:line="229"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December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Ernesto Gómez Pombo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Ernesto Gómez Pombo</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66" w:right="7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0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Condensed Consolidated Interim</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Financial Statements (Unaudited)</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As of September 30, 2025 and December 31, 2024 and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 the nine-month and three-month periods ended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September 30, 2025 and 2024</w:t>
      </w:r>
    </w:p>
    <w:p>
      <w:pPr>
        <w:sectPr>
          <w:pgSz w:w="11900" w:h="16838" w:orient="portrait"/>
          <w:cols w:equalWidth="0" w:num="1">
            <w:col w:w="11140"/>
          </w:cols>
          <w:pgMar w:left="32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6"/>
        </w:trPr>
        <w:tc>
          <w:tcPr>
            <w:tcW w:w="4660" w:type="dxa"/>
            <w:vAlign w:val="bottom"/>
            <w:tcBorders>
              <w:bottom w:val="single" w:sz="8" w:color="0000EE"/>
            </w:tcBorders>
            <w:gridSpan w:val="2"/>
          </w:tcPr>
          <w:p>
            <w:pPr>
              <w:spacing w:after="0" w:line="136" w:lineRule="exact"/>
              <w:rPr>
                <w:sz w:val="20"/>
                <w:szCs w:val="20"/>
                <w:color w:val="auto"/>
              </w:rPr>
            </w:pPr>
            <w:r>
              <w:rPr>
                <w:rFonts w:ascii="Times New Roman" w:cs="Times New Roman" w:eastAsia="Times New Roman" w:hAnsi="Times New Roman"/>
                <w:sz w:val="15"/>
                <w:szCs w:val="15"/>
                <w:color w:val="0000EE"/>
              </w:rPr>
              <w:t>Condensed consolidated interim statements of financial position</w:t>
            </w:r>
          </w:p>
        </w:tc>
        <w:tc>
          <w:tcPr>
            <w:tcW w:w="5800" w:type="dxa"/>
            <w:vAlign w:val="bottom"/>
            <w:gridSpan w:val="2"/>
          </w:tcPr>
          <w:p>
            <w:pPr>
              <w:spacing w:after="0"/>
              <w:rPr>
                <w:sz w:val="13"/>
                <w:szCs w:val="13"/>
                <w:color w:val="auto"/>
              </w:rPr>
            </w:pP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425"/>
        </w:trPr>
        <w:tc>
          <w:tcPr>
            <w:tcW w:w="104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Condensed consolidated interim statements of profit or loss and other comprehensive income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46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Condensed consolidated interim statements of changes in equity</w:t>
            </w:r>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104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Condensed consolidated interim statements of cash flows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4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04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Notes to the condensed consolidated interim financial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 to 36</w:t>
            </w:r>
          </w:p>
        </w:tc>
      </w:tr>
      <w:tr>
        <w:trPr>
          <w:trHeight w:val="20"/>
        </w:trPr>
        <w:tc>
          <w:tcPr>
            <w:tcW w:w="4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interim statements of financial position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of September 30, 2025 and December 31, 2024</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5"/>
                <w:szCs w:val="15"/>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934,053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841,997</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709,914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591,475</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3,083</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deposits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80,770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70,363</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165,222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139,721</w:t>
            </w:r>
          </w:p>
        </w:tc>
      </w:tr>
      <w:tr>
        <w:trPr>
          <w:trHeight w:val="230"/>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1,892,509</w:t>
            </w: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1,646,639</w:t>
            </w:r>
          </w:p>
        </w:tc>
        <w:tc>
          <w:tcPr>
            <w:tcW w:w="6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including right-of-use</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3,512,358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3,206,558</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1,081,783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1,080,354</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deposits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149,446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160,471</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accounted investees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21,937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16,978</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12,463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10,841</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258,044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261,724</w:t>
            </w:r>
          </w:p>
        </w:tc>
      </w:tr>
      <w:tr>
        <w:trPr>
          <w:trHeight w:val="230"/>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5,036,031</w:t>
            </w: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4,736,926</w:t>
            </w:r>
          </w:p>
        </w:tc>
        <w:tc>
          <w:tcPr>
            <w:tcW w:w="60" w:type="dxa"/>
            <w:vAlign w:val="bottom"/>
          </w:tcPr>
          <w:p>
            <w:pPr>
              <w:spacing w:after="0"/>
              <w:rPr>
                <w:sz w:val="20"/>
                <w:szCs w:val="20"/>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6,928,540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6,383,565</w:t>
            </w:r>
          </w:p>
        </w:tc>
      </w:tr>
      <w:tr>
        <w:trPr>
          <w:trHeight w:val="20"/>
        </w:trPr>
        <w:tc>
          <w:tcPr>
            <w:tcW w:w="8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on pages 8 to 36 are an integral part of the condensed consolidated interim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interim statements of financial position (continued)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of September 30, 2025 and December 31, 2024</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52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96"/>
        </w:trPr>
        <w:tc>
          <w:tcPr>
            <w:tcW w:w="8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borrowings, including leases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6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492,256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448,297</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1,655,135</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1,652,235</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50,201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117,167</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traffic liability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581,276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617,196</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Frequent flyer program</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288,940</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287,972</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 and employee’s statutory profit sharing</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28,590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69,530</w:t>
            </w: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3,097,423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3,193,183</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Loans and borrowings, including leases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3,498,495</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3,252,616</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Frequent flyer program</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333,318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300,395</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321,954</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207,093</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250,238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209,098</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121,094</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4,537,503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4,090,296</w:t>
            </w: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7,634,926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7,283,479</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3,543,159</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3,526,022</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(2,182,889)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(2,182,889)</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24,750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24,750</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repurchase reserve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29,703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29,703</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Equity accounted investees share of OCI</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(6,577)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(6,577)</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defined benefit liability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16,797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17,156</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(2,133,379)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(2,310,129)</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equity (deficit) attributable to equity holders of the Company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(708,436)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(901,964)</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2,050</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equity (deficit)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(706,386)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(899,914)</w:t>
            </w:r>
          </w:p>
        </w:tc>
      </w:tr>
      <w:tr>
        <w:trPr>
          <w:trHeight w:val="22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equity (deficit) and liabilities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6,928,540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6,383,565</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on pages 8 to 36 are an integral part of the condensed consolidated interim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interim statements of profit or loss and other comprehensive income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the nine-month and three-month periods ended September 30, 2025 and 2024</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Nine-month period</w:t>
            </w:r>
          </w:p>
        </w:tc>
        <w:tc>
          <w:tcPr>
            <w:tcW w:w="19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Three-month period</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Passenger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3,557,293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3,840,952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1,299,008</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1,373,968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Air cargo</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230,067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213,888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77,792</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72,928</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135,232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129,859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48,088</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42,932</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3,922,592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4,184,699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1,424,888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1,489,828</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Jet-fuel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857,808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960,213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297,497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314,201</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Wages, salaries and benefits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828,660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798,585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299,230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267,970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167,399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185,147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63,874</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67,873</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Aircraft, communication and traffic services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450,652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438,912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166,425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156,743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Passenger services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111,914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106,137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41,345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37,732</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Travel agent commissions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69,646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90,524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32,064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257,873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293,955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92,488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103,032</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Aircraft leasing</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4,602</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536,857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470,825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184,147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164,846</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(reversal)</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(3,700)</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loss (income),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12,678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26,528</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16,618</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(gain) loss on equity accounted investees, net of tax</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(4,959)</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(6,176)</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3,297,421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3,375,087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1,171,973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1,158,227</w:t>
            </w:r>
          </w:p>
        </w:tc>
        <w:tc>
          <w:tcPr>
            <w:tcW w:w="0" w:type="dxa"/>
            <w:vAlign w:val="bottom"/>
          </w:tcPr>
          <w:p>
            <w:pPr>
              <w:spacing w:after="0"/>
              <w:rPr>
                <w:sz w:val="1"/>
                <w:szCs w:val="1"/>
                <w:color w:val="auto"/>
              </w:rPr>
            </w:pP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625,171</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809,612</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252,915</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income (cost):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24,942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115,003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27,355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cost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(416,432)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(305,399)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(138,313)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(104,534)</w:t>
            </w:r>
          </w:p>
        </w:tc>
        <w:tc>
          <w:tcPr>
            <w:tcW w:w="0" w:type="dxa"/>
            <w:vAlign w:val="bottom"/>
          </w:tcPr>
          <w:p>
            <w:pPr>
              <w:spacing w:after="0"/>
              <w:rPr>
                <w:sz w:val="1"/>
                <w:szCs w:val="1"/>
                <w:color w:val="auto"/>
              </w:rPr>
            </w:pP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finance cost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(391,490)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(190,396)</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(131,693)</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233,681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619,216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121,222</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254,422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46,736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77,171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24,244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59,040</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for the period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186,945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542,045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96,978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195,382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on pages 8 to 36 are an integral part of the condensed consolidated interim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interim statements of profit or loss and other comprehensive income (continued)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the nine-month and three-month periods ended September 30, 2025 and 2024</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except for earnings per share)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 w:type="dxa"/>
            <w:vAlign w:val="bottom"/>
          </w:tcPr>
          <w:p>
            <w:pPr>
              <w:spacing w:after="0"/>
              <w:rPr>
                <w:sz w:val="15"/>
                <w:szCs w:val="15"/>
                <w:color w:val="auto"/>
              </w:rPr>
            </w:pPr>
          </w:p>
        </w:tc>
        <w:tc>
          <w:tcPr>
            <w:tcW w:w="1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Nine-month period</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Three-month period</w:t>
            </w: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for the period</w:t>
            </w: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186,945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542,045</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96,978</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(OCI), net of income taxes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to profit or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Remeasurement of defined benefit liability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for the period, net of income taxes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186,586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542,079</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97,630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194,602</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attributable to:</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Owners of the Company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186,945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542,010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96,978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195,371</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for the period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186,945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542,045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96,978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195,382</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Owners of the Company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186,586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542,044</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97,630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194,591</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186,586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542,079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97,630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194,602</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 from continuing operations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 (US dollars)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 (US dollars)</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on pages 8 to 36 are an integral part of the condensed consolidated interim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interim statements of changes in equity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the nine-month periods ended September 30, 2025 and 2024</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Attributable to equity holders of the Company</w:t>
            </w: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Remeasurement</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accounted</w:t>
            </w:r>
          </w:p>
        </w:tc>
        <w:tc>
          <w:tcPr>
            <w:tcW w:w="120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860" w:type="dxa"/>
            <w:vAlign w:val="bottom"/>
            <w:gridSpan w:val="2"/>
            <w:vMerge w:val="continue"/>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investees</w:t>
            </w: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defined</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 of</w:t>
            </w: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04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OCI</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80" w:type="dxa"/>
            <w:vAlign w:val="bottom"/>
            <w:gridSpan w:val="2"/>
            <w:vMerge w:val="continue"/>
          </w:tcPr>
          <w:p>
            <w:pPr>
              <w:spacing w:after="0"/>
              <w:rPr>
                <w:sz w:val="15"/>
                <w:szCs w:val="15"/>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8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January 1, 2025</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$3,526,022</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1"/>
              </w:rPr>
              <w:t>(2,182,889)</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24,750</w:t>
            </w: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29,703</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w w:val="88"/>
              </w:rPr>
              <w:t>(6,577)</w:t>
            </w: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17,156</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(2,310,129)</w:t>
            </w:r>
          </w:p>
        </w:tc>
        <w:tc>
          <w:tcPr>
            <w:tcW w:w="2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(901,964)</w:t>
            </w:r>
          </w:p>
        </w:tc>
        <w:tc>
          <w:tcPr>
            <w:tcW w:w="2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2,050</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(899,914)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base plan (Note 17)</w:t>
            </w:r>
          </w:p>
        </w:tc>
        <w:tc>
          <w:tcPr>
            <w:tcW w:w="12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6,253</w:t>
            </w: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6,253</w:t>
            </w:r>
          </w:p>
        </w:tc>
        <w:tc>
          <w:tcPr>
            <w:tcW w:w="118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6,253</w:t>
            </w: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Capital stock increase (Note</w:t>
            </w:r>
          </w:p>
        </w:tc>
        <w:tc>
          <w:tcPr>
            <w:tcW w:w="9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17,137</w:t>
            </w:r>
          </w:p>
        </w:tc>
        <w:tc>
          <w:tcPr>
            <w:tcW w:w="8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(16,448)</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689</w:t>
            </w:r>
          </w:p>
        </w:tc>
        <w:tc>
          <w:tcPr>
            <w:tcW w:w="11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18)</w:t>
            </w:r>
          </w:p>
        </w:tc>
        <w:tc>
          <w:tcPr>
            <w:tcW w:w="960" w:type="dxa"/>
            <w:vAlign w:val="bottom"/>
            <w:gridSpan w:val="3"/>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for the period</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186,945</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186,945</w:t>
            </w:r>
          </w:p>
        </w:tc>
        <w:tc>
          <w:tcPr>
            <w:tcW w:w="1180" w:type="dxa"/>
            <w:vAlign w:val="bottom"/>
            <w:gridSpan w:val="2"/>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186,945</w:t>
            </w:r>
          </w:p>
        </w:tc>
        <w:tc>
          <w:tcPr>
            <w:tcW w:w="0" w:type="dxa"/>
            <w:vAlign w:val="bottom"/>
          </w:tcPr>
          <w:p>
            <w:pPr>
              <w:spacing w:after="0"/>
              <w:rPr>
                <w:sz w:val="1"/>
                <w:szCs w:val="1"/>
                <w:color w:val="auto"/>
              </w:rPr>
            </w:pPr>
          </w:p>
        </w:tc>
      </w:tr>
      <w:tr>
        <w:trPr>
          <w:trHeight w:val="148"/>
        </w:trPr>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18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as of September 30,</w:t>
            </w:r>
          </w:p>
        </w:tc>
        <w:tc>
          <w:tcPr>
            <w:tcW w:w="9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3,543,159</w:t>
            </w:r>
          </w:p>
        </w:tc>
        <w:tc>
          <w:tcPr>
            <w:tcW w:w="8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(2,182,889)</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24,750</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29,703</w:t>
            </w:r>
          </w:p>
        </w:tc>
        <w:tc>
          <w:tcPr>
            <w:tcW w:w="8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(6,577)</w:t>
            </w: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16,797</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(2,133,379)</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(708,436)</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2,050</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(706,386)</w:t>
            </w: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960" w:type="dxa"/>
            <w:vAlign w:val="bottom"/>
            <w:gridSpan w:val="3"/>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on pages 8 to 36 are an integral part of the condensed consolidated interim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interim statements of changes in equity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the nine-month periods ended September 30, 2025 and 2024</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Attributable to equity holders of the Company</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Remeasurement</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accounted</w:t>
            </w:r>
          </w:p>
        </w:tc>
        <w:tc>
          <w:tcPr>
            <w:tcW w:w="11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82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investees</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defined</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 of</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98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OCI</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gridSpan w:val="2"/>
            <w:vMerge w:val="continue"/>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January 1, 2024</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$4,326,906</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1"/>
              </w:rPr>
              <w:t>(2,182,889)</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w w:val="93"/>
              </w:rPr>
              <w:t>24,750</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29,703</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w w:val="88"/>
              </w:rPr>
              <w:t>(6,577)</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13,100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(2,939,921)</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(734,928)</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2,003</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(732,925)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stock increase (Note 18)</w:t>
            </w:r>
          </w:p>
        </w:tc>
        <w:tc>
          <w:tcPr>
            <w:tcW w:w="9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16,331</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16,331</w:t>
            </w:r>
          </w:p>
        </w:tc>
        <w:tc>
          <w:tcPr>
            <w:tcW w:w="114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16,331</w:t>
            </w: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stock decrease (Note 18)</w:t>
            </w: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(409,272)</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1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(409,272)</w:t>
            </w:r>
          </w:p>
        </w:tc>
        <w:tc>
          <w:tcPr>
            <w:tcW w:w="1140" w:type="dxa"/>
            <w:vAlign w:val="bottom"/>
            <w:gridSpan w:val="2"/>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(409,272)</w:t>
            </w:r>
          </w:p>
        </w:tc>
        <w:tc>
          <w:tcPr>
            <w:tcW w:w="0" w:type="dxa"/>
            <w:vAlign w:val="bottom"/>
          </w:tcPr>
          <w:p>
            <w:pPr>
              <w:spacing w:after="0"/>
              <w:rPr>
                <w:sz w:val="1"/>
                <w:szCs w:val="1"/>
                <w:color w:val="auto"/>
              </w:rPr>
            </w:pPr>
          </w:p>
        </w:tc>
      </w:tr>
      <w:tr>
        <w:trPr>
          <w:trHeight w:val="124"/>
        </w:trPr>
        <w:tc>
          <w:tcPr>
            <w:tcW w:w="23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comprehensive income for the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for the period</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1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542,010</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542,010</w:t>
            </w:r>
          </w:p>
        </w:tc>
        <w:tc>
          <w:tcPr>
            <w:tcW w:w="11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542,045</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5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7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14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as of September 30, 2024</w:t>
            </w:r>
          </w:p>
        </w:tc>
        <w:tc>
          <w:tcPr>
            <w:tcW w:w="9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3,933,965</w:t>
            </w:r>
          </w:p>
        </w:tc>
        <w:tc>
          <w:tcPr>
            <w:tcW w:w="8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(2,182,889)</w:t>
            </w:r>
          </w:p>
        </w:tc>
        <w:tc>
          <w:tcPr>
            <w:tcW w:w="7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24,750</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29,703</w:t>
            </w:r>
          </w:p>
        </w:tc>
        <w:tc>
          <w:tcPr>
            <w:tcW w:w="7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(6,577)</w:t>
            </w:r>
          </w:p>
        </w:tc>
        <w:tc>
          <w:tcPr>
            <w:tcW w:w="11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13,134</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(2,397,911)</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(585,825)</w:t>
            </w:r>
          </w:p>
        </w:tc>
        <w:tc>
          <w:tcPr>
            <w:tcW w:w="11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2,038</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(583,787)</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on pages 8 to 36 are an integral part of the condensed consolidated interim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the nine-month periods ended September 30, 2025 and 2024</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20" w:type="dxa"/>
            <w:vAlign w:val="bottom"/>
          </w:tcPr>
          <w:p>
            <w:pPr>
              <w:spacing w:after="0"/>
              <w:rPr>
                <w:sz w:val="15"/>
                <w:szCs w:val="15"/>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96"/>
        </w:trPr>
        <w:tc>
          <w:tcPr>
            <w:tcW w:w="8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Income for the period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186,945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542,045</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46,736</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77,171</w:t>
            </w: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536,857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470,825</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(reversal)</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(gain) loss on equity accounted investees, net of tax</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(7,147)</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sale property and equipment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3,488</w:t>
            </w: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Provisions,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75,443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144,165</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financial 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benefits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18,688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13,238</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adjustments to net realizable value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2,836</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220,761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147,425</w:t>
            </w: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exchange (gain)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(30,183)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(22,974)</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Employee’s statutory profit sharing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2,892</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24,000</w:t>
            </w: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Equity-settled share-based payment transactions</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16,331</w:t>
            </w:r>
          </w:p>
        </w:tc>
      </w:tr>
      <w:tr>
        <w:trPr>
          <w:trHeight w:val="223"/>
        </w:trPr>
        <w:tc>
          <w:tcPr>
            <w:tcW w:w="8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1,050,967</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1,411,766</w:t>
            </w:r>
          </w:p>
        </w:tc>
        <w:tc>
          <w:tcPr>
            <w:tcW w:w="12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(73,839)</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(24,090)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(26,214)</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deposits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(15,303)</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(197,367)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(25,230)</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traffic liability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(35,920)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(84,631)</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Frequent flyer program</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33,891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15,667</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24,942</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46,546</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Cash generated from operating activities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845,965</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1,249,442</w:t>
            </w:r>
          </w:p>
        </w:tc>
        <w:tc>
          <w:tcPr>
            <w:tcW w:w="120" w:type="dxa"/>
            <w:vAlign w:val="bottom"/>
          </w:tcPr>
          <w:p>
            <w:pPr>
              <w:spacing w:after="0"/>
              <w:rPr>
                <w:sz w:val="20"/>
                <w:szCs w:val="20"/>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(58,749)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(20,996)</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(192,494)</w:t>
            </w: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568,180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1,035,952</w:t>
            </w:r>
          </w:p>
        </w:tc>
      </w:tr>
      <w:tr>
        <w:trPr>
          <w:trHeight w:val="223"/>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properties and equipment (including major maintenance)</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(212,695)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(343,597)</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properties and equipment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32,793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1,713</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from equity accounted investees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6,853</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 reimbursement from equity accounted investees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9,147</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additions</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(18,081)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(16,514)</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deposits for maintenance and acquisition of properties and equipment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(11,192)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(25,377)</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(209,175)</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(381,775)</w:t>
            </w:r>
          </w:p>
        </w:tc>
        <w:tc>
          <w:tcPr>
            <w:tcW w:w="120" w:type="dxa"/>
            <w:vAlign w:val="bottom"/>
          </w:tcPr>
          <w:p>
            <w:pPr>
              <w:spacing w:after="0"/>
              <w:rPr>
                <w:sz w:val="20"/>
                <w:szCs w:val="20"/>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payment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(24,059)</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capital stock</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(409,272)</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loans</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64,603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loans</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(92,704)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(156,162)</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Payments of lease liabilities</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(254,463)</w:t>
            </w: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(297,137)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(843,956)</w:t>
            </w:r>
          </w:p>
        </w:tc>
      </w:tr>
      <w:tr>
        <w:trPr>
          <w:trHeight w:val="223"/>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61,868</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(189,779)</w:t>
            </w:r>
          </w:p>
        </w:tc>
        <w:tc>
          <w:tcPr>
            <w:tcW w:w="12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fluctuations on cash held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30,188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(35,566)</w:t>
            </w:r>
          </w:p>
        </w:tc>
      </w:tr>
      <w:tr>
        <w:trPr>
          <w:trHeight w:val="223"/>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92,056</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(225,345)</w:t>
            </w:r>
          </w:p>
        </w:tc>
        <w:tc>
          <w:tcPr>
            <w:tcW w:w="12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At beginning of period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841,997</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937,698</w:t>
            </w: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end of period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934,053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712,353</w:t>
            </w:r>
          </w:p>
        </w:tc>
      </w:tr>
      <w:tr>
        <w:trPr>
          <w:trHeight w:val="20"/>
        </w:trPr>
        <w:tc>
          <w:tcPr>
            <w:tcW w:w="8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on pages 8 to 36 are an integral part of the condensed consolidated interim financial statements.</w:t>
      </w:r>
    </w:p>
    <w:p>
      <w:pPr>
        <w:sectPr>
          <w:pgSz w:w="11900" w:h="16838" w:orient="portrait"/>
          <w:cols w:equalWidth="0" w:num="1">
            <w:col w:w="11140"/>
          </w:cols>
          <w:pgMar w:left="320" w:top="455" w:right="439" w:bottom="1145"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40"/>
          </w:cols>
          <w:pgMar w:left="320" w:top="455" w:right="439" w:bottom="1145"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As of September 30, 2025 and December 31, 2024 and for the</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nine-month and three-month periods ended September 30, 2025 and 2024</w:t>
      </w: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48"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entity-</w:t>
      </w:r>
    </w:p>
    <w:p>
      <w:pPr>
        <w:spacing w:after="0" w:line="121" w:lineRule="exact"/>
        <w:rPr>
          <w:rFonts w:ascii="Times New Roman" w:cs="Times New Roman" w:eastAsia="Times New Roman" w:hAnsi="Times New Roman"/>
          <w:sz w:val="18"/>
          <w:szCs w:val="18"/>
          <w:b w:val="1"/>
          <w:bCs w:val="1"/>
          <w:color w:val="auto"/>
        </w:rPr>
      </w:pPr>
    </w:p>
    <w:p>
      <w:pPr>
        <w:ind w:left="5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Grupo Aeroméxico, S. A. B. de C. V. (the “Company”) is a company incorporated under the laws of Mexico, domiciled in Paseo de la Reforma 243 25th Floor, Colonia Cuauhtémoc, 06500 Mexico City, Mexico. These condensed consolidated interim financial statements (“interim financial statements”) as of September 30, 2025 and December 31, 2024 and for the nine-month and three-month periods ended September 30, 2025 and 2024 comprise the Company and its subsidiaries (together referred to as the “Group” or “Grupo Aeroméxico” and individually as “Group’s entities”).</w:t>
      </w:r>
    </w:p>
    <w:p>
      <w:pPr>
        <w:spacing w:after="0" w:line="75"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interim financial statements have been prepared to comply with certain reporting financial information obligations of the Group.</w:t>
      </w:r>
    </w:p>
    <w:p>
      <w:pPr>
        <w:spacing w:after="0" w:line="117" w:lineRule="exact"/>
        <w:rPr>
          <w:rFonts w:ascii="Times New Roman" w:cs="Times New Roman" w:eastAsia="Times New Roman" w:hAnsi="Times New Roman"/>
          <w:sz w:val="18"/>
          <w:szCs w:val="18"/>
          <w:b w:val="1"/>
          <w:bCs w:val="1"/>
          <w:color w:val="auto"/>
        </w:rPr>
      </w:pPr>
    </w:p>
    <w:p>
      <w:pPr>
        <w:ind w:left="5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principal activity is to provide air transport services for passengers, goods and cargo and loyalty program, inside and outside of Mexico, training and management services, franchise systems commercialization and management of investment in shares.</w:t>
      </w:r>
    </w:p>
    <w:p>
      <w:pPr>
        <w:spacing w:after="0" w:line="306"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131" w:lineRule="exact"/>
        <w:rPr>
          <w:sz w:val="20"/>
          <w:szCs w:val="20"/>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119" w:lineRule="exact"/>
        <w:rPr>
          <w:sz w:val="20"/>
          <w:szCs w:val="20"/>
          <w:color w:val="auto"/>
        </w:rPr>
      </w:pPr>
    </w:p>
    <w:p>
      <w:pPr>
        <w:ind w:left="560" w:right="40"/>
        <w:spacing w:after="0" w:line="257" w:lineRule="auto"/>
        <w:rPr>
          <w:sz w:val="20"/>
          <w:szCs w:val="20"/>
          <w:color w:val="auto"/>
        </w:rPr>
      </w:pPr>
      <w:r>
        <w:rPr>
          <w:rFonts w:ascii="Times New Roman" w:cs="Times New Roman" w:eastAsia="Times New Roman" w:hAnsi="Times New Roman"/>
          <w:sz w:val="18"/>
          <w:szCs w:val="18"/>
          <w:color w:val="auto"/>
        </w:rPr>
        <w:t xml:space="preserve">These condensed consolidated interim financial statements have been prepared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and should be read in conjunction with the Group’s last annual consolidated financial statements as of December 31, 2024, 2023 and 2022 and for the years in the three-year period ended December 31, 2024 (“last annual consolidated financial statements”). They do not include all of the information required for a complete set of IFRS financial statements. However, selected explanatory notes are included to explain events and transactions that are significant to an understanding of the changes in the Group’s financial position and performance since the last annual consolidated financial statements.</w:t>
      </w:r>
    </w:p>
    <w:p>
      <w:pPr>
        <w:spacing w:after="0" w:line="76"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On November 12, 2025 the Company’s Chief Executive Officer and Chief Financial Officer, Andrés Conesa Labastida and Ricardo Sánchez Baker, respectively, authorized the issuance of the accompanying interim financial statements and related notes thereto.</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measurement-</w:t>
      </w:r>
    </w:p>
    <w:p>
      <w:pPr>
        <w:spacing w:after="0" w:line="121"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These condensed consolidated interim financial statements are presented in US Dollars (“$” “dollars” or “US”), which is the Group’s functional currency. All amounts have been rounded to the nearest thousand, unless otherwise indicated.</w:t>
      </w:r>
    </w:p>
    <w:p>
      <w:pPr>
        <w:spacing w:after="0" w:line="54" w:lineRule="exact"/>
        <w:rPr>
          <w:sz w:val="20"/>
          <w:szCs w:val="20"/>
          <w:color w:val="auto"/>
        </w:rPr>
      </w:pPr>
    </w:p>
    <w:p>
      <w:pPr>
        <w:ind w:left="560" w:right="600"/>
        <w:spacing w:after="0" w:line="282" w:lineRule="auto"/>
        <w:rPr>
          <w:sz w:val="20"/>
          <w:szCs w:val="20"/>
          <w:color w:val="auto"/>
        </w:rPr>
      </w:pPr>
      <w:r>
        <w:rPr>
          <w:rFonts w:ascii="Times New Roman" w:cs="Times New Roman" w:eastAsia="Times New Roman" w:hAnsi="Times New Roman"/>
          <w:sz w:val="18"/>
          <w:szCs w:val="18"/>
          <w:color w:val="auto"/>
        </w:rPr>
        <w:t>Due to rounding, numbers presented throughout this document may not add up precisely to the totals we provide, and percentages may not precisely reflect the absolute figures.</w:t>
      </w:r>
    </w:p>
    <w:p>
      <w:pPr>
        <w:spacing w:after="0" w:line="63"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of consolidation-</w:t>
      </w:r>
    </w:p>
    <w:p>
      <w:pPr>
        <w:spacing w:after="0" w:line="121"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These condensed consolidated interim financial statements include Grupo Aeroméxico, S. A. B. de C. V. and all entities that are controlled directly or indirectly by Grupo Aeroméxico.</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Balances and transactions between consolidated related parties have been eliminated.</w:t>
      </w:r>
    </w:p>
    <w:p>
      <w:pPr>
        <w:spacing w:after="0" w:line="370"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judgements and estimates-</w:t>
      </w:r>
    </w:p>
    <w:p>
      <w:pPr>
        <w:spacing w:after="0" w:line="121" w:lineRule="exact"/>
        <w:rPr>
          <w:rFonts w:ascii="Times New Roman" w:cs="Times New Roman" w:eastAsia="Times New Roman" w:hAnsi="Times New Roman"/>
          <w:sz w:val="18"/>
          <w:szCs w:val="18"/>
          <w:b w:val="1"/>
          <w:bCs w:val="1"/>
          <w:color w:val="auto"/>
        </w:rPr>
      </w:pPr>
    </w:p>
    <w:p>
      <w:pPr>
        <w:ind w:left="5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preparing these condensed consolidated interim financial statements, Management has made judgements, estimates and assumptions that affect the application of accounting policies and the reported amounts of assets, liabilities, income and expense. Actual results may differ from these estimates.</w:t>
      </w:r>
    </w:p>
    <w:p>
      <w:pPr>
        <w:spacing w:after="0" w:line="67" w:lineRule="exact"/>
        <w:rPr>
          <w:rFonts w:ascii="Times New Roman" w:cs="Times New Roman" w:eastAsia="Times New Roman" w:hAnsi="Times New Roman"/>
          <w:sz w:val="18"/>
          <w:szCs w:val="18"/>
          <w:b w:val="1"/>
          <w:bCs w:val="1"/>
          <w:color w:val="auto"/>
        </w:rPr>
      </w:pPr>
    </w:p>
    <w:p>
      <w:pPr>
        <w:ind w:left="5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significant judgements made by Management in applying the Group’s accounting policies and the key sources of estimation uncertainty were the same as those described in the last annual consolidated financial statements.</w:t>
      </w:r>
    </w:p>
    <w:p>
      <w:pPr>
        <w:spacing w:after="0" w:line="53"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Measurement of fair values-</w:t>
      </w:r>
    </w:p>
    <w:p>
      <w:pPr>
        <w:spacing w:after="0" w:line="117" w:lineRule="exact"/>
        <w:rPr>
          <w:rFonts w:ascii="Times New Roman" w:cs="Times New Roman" w:eastAsia="Times New Roman" w:hAnsi="Times New Roman"/>
          <w:sz w:val="18"/>
          <w:szCs w:val="18"/>
          <w:b w:val="1"/>
          <w:bCs w:val="1"/>
          <w:color w:val="auto"/>
        </w:rPr>
      </w:pPr>
    </w:p>
    <w:p>
      <w:pPr>
        <w:ind w:left="5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an established control framework with respect to the measurement of fair values. This includes a valuation team that has overall responsibility for overseeing all significant fair value measurements, including Level 3 fair values, and reports directly to the Chief Financial Officer.</w:t>
      </w:r>
    </w:p>
    <w:p>
      <w:pPr>
        <w:spacing w:after="0" w:line="67" w:lineRule="exact"/>
        <w:rPr>
          <w:rFonts w:ascii="Times New Roman" w:cs="Times New Roman" w:eastAsia="Times New Roman" w:hAnsi="Times New Roman"/>
          <w:sz w:val="18"/>
          <w:szCs w:val="18"/>
          <w:b w:val="1"/>
          <w:bCs w:val="1"/>
          <w:color w:val="auto"/>
        </w:rPr>
      </w:pPr>
    </w:p>
    <w:p>
      <w:pPr>
        <w:ind w:left="5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valuation team regularly reviews significant unobservable inputs and valuation adjustments. If third party information, such as broker quotes or pricing services, is used to measure fair values, then the valuation team assesses the evidence obtained from the third parties to support the conclusion that these valuations meet the requirements of IFRS, including the level in the fair value hierarchy in which the valuations should be classified.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valuation issues are reported to the Group Audit Committee.</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When measuring the fair value of an asset or a liability, the Group uses market observable data as far as possible. Fair values are categorized into different levels in a fair value hierarchy based on the inputs used in the valuation techniques as follows:</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either directly (i.e. as prices) or indirectly (i.e. derived from prices).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for the asset or liability that are not based on observable market data (unobservable inputs).</w:t>
      </w:r>
    </w:p>
    <w:p>
      <w:pPr>
        <w:spacing w:after="0" w:line="117"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If the inputs used to measure the fair value of an asset or a liability might be categorized in different levels of the fair value hierarchy, then the fair value measurement is categorized in its entirety in the same level of the fair value hierarchy as the lowest level input that is significant to the entire measurement.</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 information about the assumptions made in measuring fair values is included in Note 21.</w:t>
      </w:r>
    </w:p>
    <w:p>
      <w:pPr>
        <w:spacing w:after="0" w:line="370"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material accounting policies-</w:t>
      </w:r>
    </w:p>
    <w:p>
      <w:pPr>
        <w:spacing w:after="0" w:line="121" w:lineRule="exact"/>
        <w:rPr>
          <w:rFonts w:ascii="Times New Roman" w:cs="Times New Roman" w:eastAsia="Times New Roman" w:hAnsi="Times New Roman"/>
          <w:sz w:val="18"/>
          <w:szCs w:val="18"/>
          <w:b w:val="1"/>
          <w:bCs w:val="1"/>
          <w:color w:val="auto"/>
        </w:rPr>
      </w:pPr>
    </w:p>
    <w:p>
      <w:pPr>
        <w:ind w:left="5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did not have any changes to its accounting policies from those applied in the consolidated financial statements as of and for the year ended December 31, 2024. The policy for recognizing and measuring income taxes in the interim period is consistent with that applied in the previous period as described in Note 20.</w:t>
      </w:r>
    </w:p>
    <w:p>
      <w:pPr>
        <w:spacing w:after="0" w:line="320" w:lineRule="exact"/>
        <w:rPr>
          <w:rFonts w:ascii="Times New Roman" w:cs="Times New Roman" w:eastAsia="Times New Roman" w:hAnsi="Times New Roman"/>
          <w:sz w:val="18"/>
          <w:szCs w:val="18"/>
          <w:b w:val="1"/>
          <w:bCs w:val="1"/>
          <w:color w:val="auto"/>
        </w:rPr>
      </w:pPr>
    </w:p>
    <w:p>
      <w:pPr>
        <w:ind w:left="560" w:right="8720" w:hanging="444"/>
        <w:spacing w:after="0" w:line="400" w:lineRule="auto"/>
        <w:tabs>
          <w:tab w:leader="none" w:pos="552"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Group entities-Significant subsidiaries-</w:t>
      </w:r>
    </w:p>
    <w:p>
      <w:pPr>
        <w:ind w:left="560" w:right="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nine-month period ended September 30, 2025, there were no changes in the number of entities included in the condensed consolidated interim financial statements, which amount to 26, at the end of the period.</w:t>
      </w:r>
    </w:p>
    <w:p>
      <w:pPr>
        <w:spacing w:after="0" w:line="306"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Ultimate controlling party-</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Grupo Aeroméxico is the parent and ultimate controlling party.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Related-party transactions and balances-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Transactions carried out with related parties, for the nine-month and three-month periods ended September 30, 2025 and 2024, are as follows:</w:t>
      </w:r>
    </w:p>
    <w:p>
      <w:pPr>
        <w:spacing w:after="0" w:line="138"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Operations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Nine-month periods</w:t>
            </w:r>
          </w:p>
        </w:tc>
        <w:tc>
          <w:tcPr>
            <w:tcW w:w="14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Three-month periods</w:t>
            </w:r>
          </w:p>
        </w:tc>
      </w:tr>
      <w:tr>
        <w:trPr>
          <w:trHeight w:val="173"/>
        </w:trPr>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4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6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Leases (2)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Interline, net (3) (a)</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105,554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96,516</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36,550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42,541</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Premier lounges (3)</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863</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982</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services (1) and (2)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9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106,488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97,605</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36,755</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42,821</w:t>
            </w:r>
          </w:p>
        </w:tc>
        <w:tc>
          <w:tcPr>
            <w:tcW w:w="4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Sky Miles, net (3)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8,700</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4,277</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2,895</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2,867</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47,281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48,896</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21,447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12,434</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Ramp services, net (3)</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27,734</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28,811</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9,408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(3) (b)</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377</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 services (3)</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1,980</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Freight handling, net (3)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1,179</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(2)</w:t>
            </w:r>
          </w:p>
        </w:tc>
        <w:tc>
          <w:tcPr>
            <w:tcW w:w="100" w:type="dxa"/>
            <w:vAlign w:val="bottom"/>
          </w:tcPr>
          <w:p>
            <w:pPr>
              <w:spacing w:after="0"/>
              <w:rPr>
                <w:sz w:val="18"/>
                <w:szCs w:val="18"/>
                <w:color w:val="auto"/>
              </w:rPr>
            </w:pPr>
          </w:p>
        </w:tc>
        <w:tc>
          <w:tcPr>
            <w:tcW w:w="8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499</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services (1)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69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34,985</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27,543</w:t>
            </w:r>
          </w:p>
        </w:tc>
        <w:tc>
          <w:tcPr>
            <w:tcW w:w="4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Aeromexpress, S. A. de C. V. (“Aeromexpress”)</w:t>
      </w:r>
    </w:p>
    <w:p>
      <w:pPr>
        <w:spacing w:after="0" w:line="27"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w:t>
        <w:tab/>
        <w:t>AM DL MRO JV, S. A. P. I. de C. V. (“MRO”)</w:t>
      </w:r>
    </w:p>
    <w:p>
      <w:pPr>
        <w:spacing w:after="0" w:line="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w:t>
        <w:tab/>
        <w:t>Delta Air Lines, Inc. (“Delta”)</w:t>
      </w:r>
    </w:p>
    <w:p>
      <w:pPr>
        <w:spacing w:after="0" w:line="13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60"/>
          </w:cols>
          <w:pgMar w:left="320" w:top="455" w:right="8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8" w:lineRule="exact"/>
        <w:rPr>
          <w:sz w:val="20"/>
          <w:szCs w:val="20"/>
          <w:color w:val="auto"/>
        </w:rPr>
      </w:pPr>
    </w:p>
    <w:p>
      <w:pPr>
        <w:ind w:left="1080" w:right="220" w:hanging="532"/>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this figure is included Delta’s interline revenue for $109,101 and $100,666 during the nine-month periods ended September 30, 2025 and 2024, respectively ($34,027 and $33,940 for the three-month periods ended September 30, 2025 and 2024, respectively).</w:t>
      </w:r>
    </w:p>
    <w:p>
      <w:pPr>
        <w:ind w:left="1080" w:right="160" w:hanging="532"/>
        <w:spacing w:after="0" w:line="25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Group received maintenance services, which based on the respective accounting policies, were capitalized for $575 and $471 in 2025 and 2024 during the nine-month periods ended September 30, 2025 and 2024, respectively ($173 and $110 for the three-month periods ended September 30, 2025 and 2024, respectively).</w:t>
      </w:r>
    </w:p>
    <w:p>
      <w:pPr>
        <w:spacing w:after="0" w:line="87"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Outstanding balance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Balances due from and due to related parties as of September 30, 2025 and December 31, 2024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040" w:type="dxa"/>
            <w:vAlign w:val="bottom"/>
            <w:tcBorders>
              <w:bottom w:val="single" w:sz="8" w:color="CCEEFF"/>
            </w:tcBorders>
          </w:tcPr>
          <w:p>
            <w:pPr>
              <w:spacing w:after="0"/>
              <w:rPr>
                <w:sz w:val="15"/>
                <w:szCs w:val="15"/>
                <w:color w:val="auto"/>
              </w:rPr>
            </w:pPr>
          </w:p>
        </w:tc>
        <w:tc>
          <w:tcPr>
            <w:tcW w:w="30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Due from:</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MRO</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Delta</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3"/>
              </w:rPr>
              <w:t>2,549</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3,082</w:t>
            </w:r>
          </w:p>
        </w:tc>
      </w:tr>
      <w:tr>
        <w:trPr>
          <w:trHeight w:val="223"/>
        </w:trPr>
        <w:tc>
          <w:tcPr>
            <w:tcW w:w="40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2,550</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4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Aeromexpress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3"/>
              </w:rPr>
              <w:t>1,025</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r>
      <w:tr>
        <w:trPr>
          <w:trHeight w:val="27"/>
        </w:trPr>
        <w:tc>
          <w:tcPr>
            <w:tcW w:w="4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3"/>
              </w:rPr>
              <w:t>1,025</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r>
      <w:tr>
        <w:trPr>
          <w:trHeight w:val="20"/>
        </w:trPr>
        <w:tc>
          <w:tcPr>
            <w:tcW w:w="4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Balances due from and due to related parties relate to non-interest-bearing payables with no specific maturity and are for its nature, at short-term.</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Key management personnel compensation comprised:</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Nine-month periods</w:t>
            </w:r>
          </w:p>
        </w:tc>
        <w:tc>
          <w:tcPr>
            <w:tcW w:w="14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Three-month periods</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4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3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$13,998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Variable compensation</w:t>
            </w:r>
          </w:p>
        </w:tc>
        <w:tc>
          <w:tcPr>
            <w:tcW w:w="4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22,857</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21,166</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4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5,433</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11,395</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4,702</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42,288</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44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560" w:right="8960" w:hanging="444"/>
        <w:spacing w:after="0" w:line="400" w:lineRule="auto"/>
        <w:tabs>
          <w:tab w:leader="none" w:pos="552"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r>
        <w:rPr>
          <w:rFonts w:ascii="Times New Roman" w:cs="Times New Roman" w:eastAsia="Times New Roman" w:hAnsi="Times New Roman"/>
          <w:sz w:val="17"/>
          <w:szCs w:val="17"/>
          <w:color w:val="auto"/>
        </w:rPr>
        <w:t>Passenger revenue-</w:t>
      </w:r>
    </w:p>
    <w:p>
      <w:pPr>
        <w:ind w:left="5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Passenger revenue is primarily composed of passenger airfare and ancillary related services which do not represent a separate performance obligation to those associated to the passenger’s flight, such as excess baggage and other passenger charges, breakage from expired tickets, and the decrease in compensation costs paid to passengers and the cost from accumulated points from the Group’s frequent flyer program Aeroméxico Rewards.</w:t>
      </w:r>
    </w:p>
    <w:p>
      <w:pPr>
        <w:spacing w:after="0" w:line="71" w:lineRule="exact"/>
        <w:rPr>
          <w:rFonts w:ascii="Times New Roman" w:cs="Times New Roman" w:eastAsia="Times New Roman" w:hAnsi="Times New Roman"/>
          <w:sz w:val="17"/>
          <w:szCs w:val="17"/>
          <w:b w:val="1"/>
          <w:bCs w:val="1"/>
          <w:color w:val="auto"/>
        </w:rPr>
      </w:pPr>
    </w:p>
    <w:p>
      <w:pPr>
        <w:ind w:left="560" w:right="1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Our business and route network are subject to seasonal fluctuations. As such, our results for any interim period are not necessarily indicative for the entire year and we tend to experience higher volumes of air travel, and therefore higher revenues and operating results, during certain periods of the year as compared to others.</w:t>
      </w:r>
    </w:p>
    <w:p>
      <w:pPr>
        <w:spacing w:after="0" w:line="67" w:lineRule="exact"/>
        <w:rPr>
          <w:rFonts w:ascii="Times New Roman" w:cs="Times New Roman" w:eastAsia="Times New Roman" w:hAnsi="Times New Roman"/>
          <w:sz w:val="17"/>
          <w:szCs w:val="17"/>
          <w:b w:val="1"/>
          <w:bCs w:val="1"/>
          <w:color w:val="auto"/>
        </w:rPr>
      </w:pPr>
    </w:p>
    <w:p>
      <w:pPr>
        <w:ind w:left="560" w:right="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demand for our services is usually comparatively high in July and August (due to high demand for vacation travel), March and April (corresponding to the Easter holiday) and December (due to the Christmas holiday), while the demand is usually comparatively low in the months of February, September and October. Because a large part of our focus is on business passengers, we believe that our business passenger client component partially offsets the seasonal fluctuations that characterize visiting friends and relatives and leisure travel.</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Nine-month periods</w:t>
            </w:r>
          </w:p>
        </w:tc>
        <w:tc>
          <w:tcPr>
            <w:tcW w:w="18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Three-month periods</w:t>
            </w: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8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Passengers</w:t>
            </w:r>
          </w:p>
        </w:tc>
        <w:tc>
          <w:tcPr>
            <w:tcW w:w="2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$ 3,114,482</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3,362,663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1,133,650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1,192,535</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Ancillaries</w:t>
            </w:r>
          </w:p>
        </w:tc>
        <w:tc>
          <w:tcPr>
            <w:tcW w:w="2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442,811</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478,289</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165,358</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181,433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passenger revenues</w:t>
            </w:r>
          </w:p>
        </w:tc>
        <w:tc>
          <w:tcPr>
            <w:tcW w:w="3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3,557,293</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3,840,952</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1,299,008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1,373,968</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segments-</w:t>
      </w:r>
    </w:p>
    <w:p>
      <w:pPr>
        <w:spacing w:after="0" w:line="121" w:lineRule="exact"/>
        <w:rPr>
          <w:rFonts w:ascii="Times New Roman" w:cs="Times New Roman" w:eastAsia="Times New Roman" w:hAnsi="Times New Roman"/>
          <w:sz w:val="18"/>
          <w:szCs w:val="18"/>
          <w:b w:val="1"/>
          <w:bCs w:val="1"/>
          <w:color w:val="auto"/>
        </w:rPr>
      </w:pPr>
    </w:p>
    <w:p>
      <w:pPr>
        <w:ind w:left="560" w:right="70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Group has one reportable segment, air transportation. This is based on the Group’s internal reporting structure to the Chief Operating Decision Maker which is the CEO of the Group. The main measure of profit and loss for the segment is total operating income.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Geographical revenue segment information for the nine-month and three-month periods ended September 30, 2025 and 2024 are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1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Nine-month periods</w:t>
            </w:r>
          </w:p>
        </w:tc>
        <w:tc>
          <w:tcPr>
            <w:tcW w:w="18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Three-month periods</w:t>
            </w:r>
          </w:p>
        </w:tc>
      </w:tr>
      <w:tr>
        <w:trPr>
          <w:trHeight w:val="173"/>
        </w:trPr>
        <w:tc>
          <w:tcPr>
            <w:tcW w:w="35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1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8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352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$1,417,865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1,695,154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507,015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567,439</w:t>
            </w:r>
          </w:p>
        </w:tc>
        <w:tc>
          <w:tcPr>
            <w:tcW w:w="40" w:type="dxa"/>
            <w:vAlign w:val="bottom"/>
            <w:shd w:val="clear" w:color="auto" w:fill="CCEEFF"/>
          </w:tcPr>
          <w:p>
            <w:pPr>
              <w:spacing w:after="0"/>
              <w:rPr>
                <w:sz w:val="18"/>
                <w:szCs w:val="18"/>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6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2,504,727</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2,489,545</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917,873</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922,389</w:t>
            </w:r>
          </w:p>
        </w:tc>
        <w:tc>
          <w:tcPr>
            <w:tcW w:w="40" w:type="dxa"/>
            <w:vAlign w:val="bottom"/>
          </w:tcPr>
          <w:p>
            <w:pPr>
              <w:spacing w:after="0"/>
              <w:rPr>
                <w:sz w:val="19"/>
                <w:szCs w:val="19"/>
                <w:color w:val="auto"/>
              </w:rPr>
            </w:pPr>
          </w:p>
        </w:tc>
      </w:tr>
      <w:tr>
        <w:trPr>
          <w:trHeight w:val="216"/>
        </w:trPr>
        <w:tc>
          <w:tcPr>
            <w:tcW w:w="35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3,922,592</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4,184,699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1,424,888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1,489,828</w:t>
            </w:r>
          </w:p>
        </w:tc>
      </w:tr>
      <w:tr>
        <w:trPr>
          <w:trHeight w:val="20"/>
        </w:trPr>
        <w:tc>
          <w:tcPr>
            <w:tcW w:w="3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Substantially all assets are located in Mexico.</w:t>
      </w:r>
    </w:p>
    <w:p>
      <w:pPr>
        <w:spacing w:after="0" w:line="370"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deposits-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prepayments consist mainly of prepaid advertising, IT software licenses and fuel prepayments.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Non-current prepayments and security deposits as of September 30, 2025 and December 31, 2024 consist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for fleet renewal, including engines and interiors’ standardization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 the lease of aircraft and engines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40,170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40,368</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 financial institutions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10,658</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 airport groups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42,280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47,130</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Maintenance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34,925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46,027</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19,121</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20,071</w:t>
            </w:r>
          </w:p>
        </w:tc>
      </w:tr>
      <w:tr>
        <w:trPr>
          <w:trHeight w:val="223"/>
        </w:trPr>
        <w:tc>
          <w:tcPr>
            <w:tcW w:w="6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149,446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160,471</w:t>
            </w:r>
          </w:p>
        </w:tc>
        <w:tc>
          <w:tcPr>
            <w:tcW w:w="4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and other receivables, net-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and other receivables as of September 30, 2025 and December 31, 2024 consist as shown in the next page.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80"/>
          </w:cols>
          <w:pgMar w:left="320" w:top="455" w:right="8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1"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Airlines and travel agencies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Credit cards and customers (1)</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238,429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231,517</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Recoverable taxes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464,954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358,492</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13,961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6,748</w:t>
            </w:r>
          </w:p>
        </w:tc>
      </w:tr>
      <w:tr>
        <w:trPr>
          <w:trHeight w:val="27"/>
        </w:trPr>
        <w:tc>
          <w:tcPr>
            <w:tcW w:w="4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725,267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603,906</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(15,353)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(12,431)</w:t>
            </w:r>
          </w:p>
        </w:tc>
      </w:tr>
      <w:tr>
        <w:trPr>
          <w:trHeight w:val="27"/>
        </w:trPr>
        <w:tc>
          <w:tcPr>
            <w:tcW w:w="4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and other receivables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709,914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591,475</w:t>
            </w:r>
          </w:p>
        </w:tc>
      </w:tr>
      <w:tr>
        <w:trPr>
          <w:trHeight w:val="20"/>
        </w:trPr>
        <w:tc>
          <w:tcPr>
            <w:tcW w:w="4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532"/>
        <w:spacing w:after="0"/>
        <w:tabs>
          <w:tab w:leader="none" w:pos="108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 from sales related to certain Mexican credit cards are guaranteeing the Senior Trust Bonds (“CEBURES”) issued by the Group.</w:t>
      </w:r>
    </w:p>
    <w:p>
      <w:pPr>
        <w:spacing w:after="0" w:line="381"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including right of-use-</w:t>
      </w:r>
    </w:p>
    <w:p>
      <w:pPr>
        <w:spacing w:after="0" w:line="131"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disposals-</w:t>
      </w:r>
    </w:p>
    <w:p>
      <w:pPr>
        <w:spacing w:after="0" w:line="121" w:lineRule="exact"/>
        <w:rPr>
          <w:rFonts w:ascii="Times New Roman" w:cs="Times New Roman" w:eastAsia="Times New Roman" w:hAnsi="Times New Roman"/>
          <w:sz w:val="18"/>
          <w:szCs w:val="18"/>
          <w:b w:val="1"/>
          <w:bCs w:val="1"/>
          <w:color w:val="auto"/>
        </w:rPr>
      </w:pPr>
    </w:p>
    <w:p>
      <w:pPr>
        <w:ind w:left="110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nine-month periods ended September 30, 2025 and 2024, the Group acquired assets at cost, excluding associated debt, for $212,695 and $358,317, respectively.</w:t>
      </w:r>
    </w:p>
    <w:p>
      <w:pPr>
        <w:spacing w:after="0" w:line="53" w:lineRule="exact"/>
        <w:rPr>
          <w:rFonts w:ascii="Times New Roman" w:cs="Times New Roman" w:eastAsia="Times New Roman" w:hAnsi="Times New Roman"/>
          <w:sz w:val="18"/>
          <w:szCs w:val="18"/>
          <w:b w:val="1"/>
          <w:bCs w:val="1"/>
          <w:color w:val="auto"/>
        </w:rPr>
      </w:pPr>
    </w:p>
    <w:p>
      <w:pPr>
        <w:ind w:left="110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nine-month period ended September 30, 2025, the acquisitions were mainly flight equipment for an amount of $57,578, major maintenance for $141,224 and other assets for $13,893 (in 2024 related to flight equipment for $23,362, major maintenance for $287,453 and other assets for $47,502).</w:t>
      </w:r>
    </w:p>
    <w:p>
      <w:pPr>
        <w:spacing w:after="0" w:line="67" w:lineRule="exact"/>
        <w:rPr>
          <w:rFonts w:ascii="Times New Roman" w:cs="Times New Roman" w:eastAsia="Times New Roman" w:hAnsi="Times New Roman"/>
          <w:sz w:val="18"/>
          <w:szCs w:val="18"/>
          <w:b w:val="1"/>
          <w:bCs w:val="1"/>
          <w:color w:val="auto"/>
        </w:rPr>
      </w:pPr>
    </w:p>
    <w:p>
      <w:pPr>
        <w:jc w:val="both"/>
        <w:ind w:left="110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with a carrying amount of $56,931 were disposed during the nine-month period ended September 30, 2025, ($11,713 for the nine-month period ended September 30, 2024), with a net (gain) loss of the sale of property and equipment of $26 and $3,488, respectively in the same periods, which are registered in other loss (income) line.</w:t>
      </w:r>
    </w:p>
    <w:p>
      <w:pPr>
        <w:spacing w:after="0" w:line="7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Depreciation and amortization-</w:t>
      </w:r>
    </w:p>
    <w:p>
      <w:pPr>
        <w:spacing w:after="0" w:line="121" w:lineRule="exact"/>
        <w:rPr>
          <w:rFonts w:ascii="Times New Roman" w:cs="Times New Roman" w:eastAsia="Times New Roman" w:hAnsi="Times New Roman"/>
          <w:sz w:val="18"/>
          <w:szCs w:val="18"/>
          <w:b w:val="1"/>
          <w:bCs w:val="1"/>
          <w:color w:val="auto"/>
        </w:rPr>
      </w:pPr>
    </w:p>
    <w:p>
      <w:pPr>
        <w:ind w:left="1100" w:right="6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accumulated depreciation of property and equipment as of September 30, 2025 and December 31, 2024 was $2,220,368 and $2,139,798, respectively.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40"/>
          </w:cols>
          <w:pgMar w:left="320" w:top="455"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7"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as lessee -</w:t>
      </w:r>
    </w:p>
    <w:p>
      <w:pPr>
        <w:spacing w:after="0" w:line="121" w:lineRule="exact"/>
        <w:rPr>
          <w:rFonts w:ascii="Times New Roman" w:cs="Times New Roman" w:eastAsia="Times New Roman" w:hAnsi="Times New Roman"/>
          <w:sz w:val="18"/>
          <w:szCs w:val="18"/>
          <w:b w:val="1"/>
          <w:bCs w:val="1"/>
          <w:color w:val="auto"/>
        </w:rPr>
      </w:pPr>
    </w:p>
    <w:p>
      <w:pPr>
        <w:ind w:left="110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flight equipment and properties. The leases typically run for a period of 2 to 12 years, with an option to renew the lease after that date. For certain leases, the Group is restricted from entering into any sub-lease arrangements.</w:t>
      </w:r>
    </w:p>
    <w:p>
      <w:pPr>
        <w:spacing w:after="0" w:line="53"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flight equipment under a number of leases, which were classified as leases under IAS 17.</w:t>
      </w:r>
    </w:p>
    <w:p>
      <w:pPr>
        <w:spacing w:after="0" w:line="117"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The Group leases IT equipment with contract terms of one to three years. These leases are short-term and/or leases of low-value items. The Group has elected not to recognize right-of-use assets and lease liabilities for these leases.</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Information about leases for which the Group is a lessee is presented as follows:</w:t>
      </w:r>
    </w:p>
    <w:p>
      <w:pPr>
        <w:spacing w:after="0" w:line="1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i. Right-of-use assets-</w:t>
      </w:r>
    </w:p>
    <w:p>
      <w:pPr>
        <w:spacing w:after="0" w:line="121" w:lineRule="exact"/>
        <w:rPr>
          <w:sz w:val="20"/>
          <w:szCs w:val="20"/>
          <w:color w:val="auto"/>
        </w:rPr>
      </w:pPr>
    </w:p>
    <w:p>
      <w:pPr>
        <w:ind w:left="1100" w:right="540"/>
        <w:spacing w:after="0" w:line="312" w:lineRule="auto"/>
        <w:rPr>
          <w:sz w:val="20"/>
          <w:szCs w:val="20"/>
          <w:color w:val="auto"/>
        </w:rPr>
      </w:pPr>
      <w:r>
        <w:rPr>
          <w:rFonts w:ascii="Times New Roman" w:cs="Times New Roman" w:eastAsia="Times New Roman" w:hAnsi="Times New Roman"/>
          <w:sz w:val="17"/>
          <w:szCs w:val="17"/>
          <w:color w:val="auto"/>
        </w:rPr>
        <w:t>Right-of-use assets for $2,614,753 and $2,333,858 as of September 30, 2025 and December 31, 2024, respectively, related to leased property and flight equipment that do not meet the definition of investment property are presented as property and equipment.</w:t>
      </w:r>
    </w:p>
    <w:p>
      <w:pPr>
        <w:spacing w:after="0" w:line="2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ii. Amounts recognized in profit of loss-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Total rental expenses related to short-term leases or low-value assets during the nine-month and three-month periods ended September 30,</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2025 and 2024, are as follows: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Nine-month periods</w:t>
            </w: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Three-month periods</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leasing</w:t>
            </w:r>
          </w:p>
        </w:tc>
        <w:tc>
          <w:tcPr>
            <w:tcW w:w="3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$12,593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3"/>
              </w:rPr>
              <w:t>4,602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9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6,416</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4,452</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2,473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19,009</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15,860</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7,075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96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iii. Leases conditions-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Main leases are as follows:</w:t>
      </w:r>
    </w:p>
    <w:p>
      <w:pPr>
        <w:spacing w:after="0" w:line="117" w:lineRule="exact"/>
        <w:rPr>
          <w:sz w:val="20"/>
          <w:szCs w:val="20"/>
          <w:color w:val="auto"/>
        </w:rPr>
      </w:pPr>
    </w:p>
    <w:p>
      <w:pPr>
        <w:ind w:left="1100" w:right="300"/>
        <w:spacing w:after="0" w:line="282" w:lineRule="auto"/>
        <w:rPr>
          <w:sz w:val="20"/>
          <w:szCs w:val="20"/>
          <w:color w:val="auto"/>
        </w:rPr>
      </w:pPr>
      <w:r>
        <w:rPr>
          <w:rFonts w:ascii="Times New Roman" w:cs="Times New Roman" w:eastAsia="Times New Roman" w:hAnsi="Times New Roman"/>
          <w:sz w:val="18"/>
          <w:szCs w:val="18"/>
          <w:color w:val="auto"/>
        </w:rPr>
        <w:t>As of September 30, 2025, the Group maintained in total 161 aircraft and 37 engines (December 31, 2024: 149 aircraft and 39 engines) with different terms, with the last expiring in 2037.</w:t>
      </w:r>
    </w:p>
    <w:p>
      <w:pPr>
        <w:spacing w:after="0" w:line="63" w:lineRule="exact"/>
        <w:rPr>
          <w:sz w:val="20"/>
          <w:szCs w:val="20"/>
          <w:color w:val="auto"/>
        </w:rPr>
      </w:pPr>
    </w:p>
    <w:p>
      <w:pPr>
        <w:ind w:left="1080" w:hanging="532"/>
        <w:spacing w:after="0"/>
        <w:tabs>
          <w:tab w:leader="none" w:pos="10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under construction-</w:t>
      </w:r>
    </w:p>
    <w:p>
      <w:pPr>
        <w:spacing w:after="0" w:line="121" w:lineRule="exact"/>
        <w:rPr>
          <w:rFonts w:ascii="Times New Roman" w:cs="Times New Roman" w:eastAsia="Times New Roman" w:hAnsi="Times New Roman"/>
          <w:sz w:val="18"/>
          <w:szCs w:val="18"/>
          <w:b w:val="1"/>
          <w:bCs w:val="1"/>
          <w:color w:val="auto"/>
        </w:rPr>
      </w:pPr>
    </w:p>
    <w:p>
      <w:pPr>
        <w:ind w:left="110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2025 and December 31, 2024 the estimated costs to conclude projects and work in progress amount to $19,392 and $26,030, respectively.</w:t>
      </w:r>
    </w:p>
    <w:p>
      <w:pPr>
        <w:spacing w:after="0" w:line="63"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loss-</w:t>
      </w:r>
    </w:p>
    <w:p>
      <w:pPr>
        <w:spacing w:after="0" w:line="121" w:lineRule="exact"/>
        <w:rPr>
          <w:rFonts w:ascii="Times New Roman" w:cs="Times New Roman" w:eastAsia="Times New Roman" w:hAnsi="Times New Roman"/>
          <w:sz w:val="18"/>
          <w:szCs w:val="18"/>
          <w:b w:val="1"/>
          <w:bCs w:val="1"/>
          <w:color w:val="auto"/>
        </w:rPr>
      </w:pPr>
    </w:p>
    <w:p>
      <w:pPr>
        <w:ind w:left="1100" w:right="7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of September 30, 2025 and December 31, 2024, there are no losses from impairment in the value of these assets, evaluated in accordance with IAS 36 </w:t>
      </w:r>
      <w:r>
        <w:rPr>
          <w:rFonts w:ascii="Times New Roman" w:cs="Times New Roman" w:eastAsia="Times New Roman" w:hAnsi="Times New Roman"/>
          <w:sz w:val="18"/>
          <w:szCs w:val="18"/>
          <w:i w:val="1"/>
          <w:iCs w:val="1"/>
          <w:color w:val="auto"/>
        </w:rPr>
        <w:t>Impairment of Assets.</w:t>
      </w:r>
    </w:p>
    <w:p>
      <w:pPr>
        <w:spacing w:after="0" w:line="306"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Fiduciary</w:t>
            </w:r>
          </w:p>
        </w:tc>
        <w:tc>
          <w:tcPr>
            <w:tcW w:w="20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Partners’ Contracts</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2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Customer</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Trademark</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Rights (1)</w:t>
            </w:r>
          </w:p>
        </w:tc>
        <w:tc>
          <w:tcPr>
            <w:tcW w:w="20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Relationships (2)</w:t>
            </w:r>
          </w:p>
        </w:tc>
        <w:tc>
          <w:tcPr>
            <w:tcW w:w="11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80" w:type="dxa"/>
            <w:vAlign w:val="bottom"/>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11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Indefinite Life</w:t>
            </w:r>
          </w:p>
        </w:tc>
        <w:tc>
          <w:tcPr>
            <w:tcW w:w="112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Indefinite Life</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Finite Life</w:t>
            </w:r>
          </w:p>
        </w:tc>
        <w:tc>
          <w:tcPr>
            <w:tcW w:w="24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Indefinite Life</w:t>
            </w:r>
          </w:p>
        </w:tc>
        <w:tc>
          <w:tcPr>
            <w:tcW w:w="9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9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96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90,360</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63,280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375,512</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47,294</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61,895</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503,573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1,141,914</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18,081</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18,081</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108,345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63,280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375,512</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47,294</w:t>
            </w:r>
          </w:p>
        </w:tc>
        <w:tc>
          <w:tcPr>
            <w:tcW w:w="11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61,895</w:t>
            </w: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503,573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1,159,899</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86,594</w:t>
            </w:r>
          </w:p>
        </w:tc>
        <w:tc>
          <w:tcPr>
            <w:tcW w:w="280" w:type="dxa"/>
            <w:vAlign w:val="bottom"/>
          </w:tcPr>
          <w:p>
            <w:pPr>
              <w:spacing w:after="0"/>
              <w:rPr>
                <w:sz w:val="18"/>
                <w:szCs w:val="18"/>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63,280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375,512</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47,294</w:t>
            </w:r>
          </w:p>
        </w:tc>
        <w:tc>
          <w:tcPr>
            <w:tcW w:w="240" w:type="dxa"/>
            <w:vAlign w:val="bottom"/>
          </w:tcPr>
          <w:p>
            <w:pPr>
              <w:spacing w:after="0"/>
              <w:rPr>
                <w:sz w:val="18"/>
                <w:szCs w:val="18"/>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61,895</w:t>
            </w:r>
          </w:p>
        </w:tc>
        <w:tc>
          <w:tcPr>
            <w:tcW w:w="24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503,573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29,078</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29,078</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(25,312)</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(25,312)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63,280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375,512</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47,294</w:t>
            </w:r>
          </w:p>
        </w:tc>
        <w:tc>
          <w:tcPr>
            <w:tcW w:w="11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61,895</w:t>
            </w: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503,573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1,141,914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Fiduciary</w:t>
            </w:r>
          </w:p>
        </w:tc>
        <w:tc>
          <w:tcPr>
            <w:tcW w:w="20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 Contracts</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2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Customer</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Trademark</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Rights (1)</w:t>
            </w:r>
          </w:p>
        </w:tc>
        <w:tc>
          <w:tcPr>
            <w:tcW w:w="20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Relationships (2)</w:t>
            </w:r>
          </w:p>
        </w:tc>
        <w:tc>
          <w:tcPr>
            <w:tcW w:w="8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11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Indefinite Life</w:t>
            </w:r>
          </w:p>
        </w:tc>
        <w:tc>
          <w:tcPr>
            <w:tcW w:w="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Indefinite Life</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Finite Life</w:t>
            </w:r>
          </w:p>
        </w:tc>
        <w:tc>
          <w:tcPr>
            <w:tcW w:w="240" w:type="dxa"/>
            <w:vAlign w:val="bottom"/>
          </w:tcPr>
          <w:p>
            <w:pPr>
              <w:spacing w:after="0"/>
              <w:rPr>
                <w:sz w:val="12"/>
                <w:szCs w:val="12"/>
                <w:color w:val="auto"/>
              </w:rPr>
            </w:pPr>
          </w:p>
        </w:tc>
        <w:tc>
          <w:tcPr>
            <w:tcW w:w="8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Indefinite Life</w:t>
            </w:r>
          </w:p>
        </w:tc>
        <w:tc>
          <w:tcPr>
            <w:tcW w:w="26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Goodwill</w:t>
            </w:r>
          </w:p>
        </w:tc>
        <w:tc>
          <w:tcPr>
            <w:tcW w:w="24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4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12,220</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32,060</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44,280</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for the period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10,734</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9,618</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20,349</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Disposals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22,858</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41,678</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64,533</w:t>
            </w: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24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for the year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7,724</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12,824</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20,548</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Disposals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(25,312)</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(25,312)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12,220</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32,060</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44,280</w:t>
            </w: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17,280</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17,280</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(reversal) for the period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(3,700)</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xml:space="preserve">— </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13,580</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13,580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Fiduciary</w:t>
            </w:r>
          </w:p>
        </w:tc>
        <w:tc>
          <w:tcPr>
            <w:tcW w:w="20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 Contracts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Customer</w:t>
            </w: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Trademark</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Rights (1)</w:t>
            </w:r>
          </w:p>
        </w:tc>
        <w:tc>
          <w:tcPr>
            <w:tcW w:w="20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Relationships (2)</w:t>
            </w:r>
          </w:p>
        </w:tc>
        <w:tc>
          <w:tcPr>
            <w:tcW w:w="11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11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Indefinite Life</w:t>
            </w:r>
          </w:p>
        </w:tc>
        <w:tc>
          <w:tcPr>
            <w:tcW w:w="11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Indefinite Life</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Finite Life</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Indefinite Life</w:t>
            </w:r>
          </w:p>
        </w:tc>
        <w:tc>
          <w:tcPr>
            <w:tcW w:w="9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8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for the year</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gridSpan w:val="2"/>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17,280</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17,280</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30, 2025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85,487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49,700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375,512</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5,616</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61,895</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503,573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1,081,783</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78,140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375,512</w:t>
            </w:r>
          </w:p>
        </w:tc>
        <w:tc>
          <w:tcPr>
            <w:tcW w:w="2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2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61,895</w:t>
            </w:r>
          </w:p>
        </w:tc>
        <w:tc>
          <w:tcPr>
            <w:tcW w:w="2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503,573</w:t>
            </w: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80" w:hanging="424"/>
        <w:spacing w:after="0" w:line="257"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Corresponds to the rights received for the former Group’s corporate office building located in Mexico City, contributed to a trust, in a manner that it can be considered in the development of a new property, whereby other trustees will provide the necessary constructions to the development of the project called “Aeroméxico Tower”, in which the Group will own 9,000 square meters of future space.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contracts with third parties attached to our Aeroméxico Rewards frequent flyer program, including the program member base.</w:t>
      </w:r>
    </w:p>
    <w:p>
      <w:pPr>
        <w:spacing w:after="0" w:line="351"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borrowings, including leases-</w:t>
      </w:r>
    </w:p>
    <w:p>
      <w:pPr>
        <w:spacing w:after="0" w:line="121" w:lineRule="exact"/>
        <w:rPr>
          <w:rFonts w:ascii="Times New Roman" w:cs="Times New Roman" w:eastAsia="Times New Roman" w:hAnsi="Times New Roman"/>
          <w:sz w:val="18"/>
          <w:szCs w:val="18"/>
          <w:b w:val="1"/>
          <w:bCs w:val="1"/>
          <w:color w:val="auto"/>
        </w:rPr>
      </w:pPr>
    </w:p>
    <w:p>
      <w:pPr>
        <w:ind w:left="5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features of the loans and borrowings, including leases comprising this caption and guarantees as at September 30, 2025 and December 31, 2024 are described in the next page.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8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Currency</w:t>
            </w: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Nominal interest</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96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20" w:type="dxa"/>
            <w:vAlign w:val="bottom"/>
            <w:gridSpan w:val="2"/>
          </w:tcPr>
          <w:p>
            <w:pPr>
              <w:ind w:left="56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6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0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i w:val="1"/>
                <w:iCs w:val="1"/>
                <w:color w:val="auto"/>
              </w:rPr>
              <w:t>Senior Trust Bonds (“CEBURES”) issued in Mexico, securitized by the</w:t>
            </w:r>
          </w:p>
        </w:tc>
        <w:tc>
          <w:tcPr>
            <w:tcW w:w="4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Ps.</w:t>
            </w:r>
          </w:p>
        </w:tc>
        <w:tc>
          <w:tcPr>
            <w:tcW w:w="26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ind w:left="40"/>
              <w:spacing w:after="0" w:line="170" w:lineRule="exact"/>
              <w:rPr>
                <w:sz w:val="20"/>
                <w:szCs w:val="20"/>
                <w:color w:val="auto"/>
              </w:rPr>
            </w:pPr>
            <w:r>
              <w:rPr>
                <w:rFonts w:ascii="Times New Roman" w:cs="Times New Roman" w:eastAsia="Times New Roman" w:hAnsi="Times New Roman"/>
                <w:sz w:val="18"/>
                <w:szCs w:val="18"/>
                <w:i w:val="1"/>
                <w:iCs w:val="1"/>
                <w:color w:val="auto"/>
                <w:w w:val="99"/>
              </w:rPr>
              <w:t>TIIE rate plus 168</w:t>
            </w:r>
          </w:p>
        </w:tc>
        <w:tc>
          <w:tcPr>
            <w:tcW w:w="2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collection of credit card sales in Mexico</w:t>
            </w:r>
          </w:p>
        </w:tc>
        <w:tc>
          <w:tcPr>
            <w:tcW w:w="4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basis points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14,472</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52,558</w:t>
            </w:r>
          </w:p>
        </w:tc>
        <w:tc>
          <w:tcPr>
            <w:tcW w:w="0" w:type="dxa"/>
            <w:vAlign w:val="bottom"/>
          </w:tcPr>
          <w:p>
            <w:pPr>
              <w:spacing w:after="0"/>
              <w:rPr>
                <w:sz w:val="1"/>
                <w:szCs w:val="1"/>
                <w:color w:val="auto"/>
              </w:rPr>
            </w:pPr>
          </w:p>
        </w:tc>
      </w:tr>
      <w:tr>
        <w:trPr>
          <w:trHeight w:val="196"/>
        </w:trPr>
        <w:tc>
          <w:tcPr>
            <w:tcW w:w="53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Senior Secured Notes AEROMX29 (1) (2)</w:t>
            </w:r>
          </w:p>
        </w:tc>
        <w:tc>
          <w:tcPr>
            <w:tcW w:w="480" w:type="dxa"/>
            <w:vAlign w:val="bottom"/>
          </w:tcPr>
          <w:p>
            <w:pPr>
              <w:spacing w:after="0"/>
              <w:rPr>
                <w:sz w:val="17"/>
                <w:szCs w:val="17"/>
                <w:color w:val="auto"/>
              </w:rPr>
            </w:pPr>
          </w:p>
        </w:tc>
        <w:tc>
          <w:tcPr>
            <w:tcW w:w="84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tcPr>
          <w:p>
            <w:pPr>
              <w:ind w:left="40"/>
              <w:spacing w:after="0" w:line="195" w:lineRule="exact"/>
              <w:rPr>
                <w:sz w:val="20"/>
                <w:szCs w:val="20"/>
                <w:color w:val="auto"/>
              </w:rPr>
            </w:pPr>
            <w:r>
              <w:rPr>
                <w:rFonts w:ascii="Times New Roman" w:cs="Times New Roman" w:eastAsia="Times New Roman" w:hAnsi="Times New Roman"/>
                <w:sz w:val="18"/>
                <w:szCs w:val="18"/>
                <w:i w:val="1"/>
                <w:iCs w:val="1"/>
                <w:color w:val="auto"/>
              </w:rPr>
              <w:t>Fixed annual rate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of 8.25%</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96"/>
        </w:trPr>
        <w:tc>
          <w:tcPr>
            <w:tcW w:w="53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Senior Secured Notes AEROMX31 (1) (2)</w:t>
            </w:r>
          </w:p>
        </w:tc>
        <w:tc>
          <w:tcPr>
            <w:tcW w:w="4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i w:val="1"/>
                <w:iCs w:val="1"/>
                <w:color w:val="auto"/>
              </w:rPr>
              <w:t>Fixed annual rate</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of 8.625%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2031</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610,000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610,000</w:t>
            </w:r>
          </w:p>
        </w:tc>
        <w:tc>
          <w:tcPr>
            <w:tcW w:w="0" w:type="dxa"/>
            <w:vAlign w:val="bottom"/>
          </w:tcPr>
          <w:p>
            <w:pPr>
              <w:spacing w:after="0"/>
              <w:rPr>
                <w:sz w:val="1"/>
                <w:szCs w:val="1"/>
                <w:color w:val="auto"/>
              </w:rPr>
            </w:pPr>
          </w:p>
        </w:tc>
      </w:tr>
      <w:tr>
        <w:trPr>
          <w:trHeight w:val="196"/>
        </w:trPr>
        <w:tc>
          <w:tcPr>
            <w:tcW w:w="53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Credit line</w:t>
            </w:r>
          </w:p>
        </w:tc>
        <w:tc>
          <w:tcPr>
            <w:tcW w:w="480" w:type="dxa"/>
            <w:vAlign w:val="bottom"/>
          </w:tcPr>
          <w:p>
            <w:pPr>
              <w:spacing w:after="0"/>
              <w:rPr>
                <w:sz w:val="17"/>
                <w:szCs w:val="17"/>
                <w:color w:val="auto"/>
              </w:rPr>
            </w:pPr>
          </w:p>
        </w:tc>
        <w:tc>
          <w:tcPr>
            <w:tcW w:w="84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Ps.</w:t>
            </w:r>
          </w:p>
        </w:tc>
        <w:tc>
          <w:tcPr>
            <w:tcW w:w="1620" w:type="dxa"/>
            <w:vAlign w:val="bottom"/>
            <w:gridSpan w:val="2"/>
          </w:tcPr>
          <w:p>
            <w:pPr>
              <w:ind w:left="40"/>
              <w:spacing w:after="0" w:line="195" w:lineRule="exact"/>
              <w:rPr>
                <w:sz w:val="20"/>
                <w:szCs w:val="20"/>
                <w:color w:val="auto"/>
              </w:rPr>
            </w:pPr>
            <w:r>
              <w:rPr>
                <w:rFonts w:ascii="Times New Roman" w:cs="Times New Roman" w:eastAsia="Times New Roman" w:hAnsi="Times New Roman"/>
                <w:sz w:val="18"/>
                <w:szCs w:val="18"/>
                <w:i w:val="1"/>
                <w:iCs w:val="1"/>
                <w:color w:val="auto"/>
              </w:rPr>
              <w:t>Fixed annual rate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of 7.88%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1,164,075</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1,162,558</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Financial leasing of flight and other equipment, supported by the Ex-Im</w:t>
            </w:r>
          </w:p>
        </w:tc>
        <w:tc>
          <w:tcPr>
            <w:tcW w:w="480" w:type="dxa"/>
            <w:vAlign w:val="bottom"/>
          </w:tcPr>
          <w:p>
            <w:pPr>
              <w:spacing w:after="0"/>
              <w:rPr>
                <w:sz w:val="17"/>
                <w:szCs w:val="17"/>
                <w:color w:val="auto"/>
              </w:rPr>
            </w:pPr>
          </w:p>
        </w:tc>
        <w:tc>
          <w:tcPr>
            <w:tcW w:w="84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i w:val="1"/>
                <w:iCs w:val="1"/>
                <w:color w:val="auto"/>
              </w:rPr>
              <w:t>Fixed annual rate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Bank in the United States of America (1)</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of 2.33%</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59,268</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71,353</w:t>
            </w:r>
          </w:p>
        </w:tc>
        <w:tc>
          <w:tcPr>
            <w:tcW w:w="0" w:type="dxa"/>
            <w:vAlign w:val="bottom"/>
          </w:tcPr>
          <w:p>
            <w:pPr>
              <w:spacing w:after="0"/>
              <w:rPr>
                <w:sz w:val="1"/>
                <w:szCs w:val="1"/>
                <w:color w:val="auto"/>
              </w:rPr>
            </w:pPr>
          </w:p>
        </w:tc>
      </w:tr>
      <w:tr>
        <w:trPr>
          <w:trHeight w:val="196"/>
        </w:trPr>
        <w:tc>
          <w:tcPr>
            <w:tcW w:w="53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Financial leasing of flight and other equipment, supported by the Ex-Im</w:t>
            </w:r>
          </w:p>
        </w:tc>
        <w:tc>
          <w:tcPr>
            <w:tcW w:w="4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i w:val="1"/>
                <w:iCs w:val="1"/>
                <w:color w:val="auto"/>
              </w:rPr>
              <w:t>Fixed annual rate</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Bank in the United States of America (1)</w:t>
            </w:r>
          </w:p>
        </w:tc>
        <w:tc>
          <w:tcPr>
            <w:tcW w:w="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of 2.54%</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16,728</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24,857</w:t>
            </w:r>
          </w:p>
        </w:tc>
        <w:tc>
          <w:tcPr>
            <w:tcW w:w="0" w:type="dxa"/>
            <w:vAlign w:val="bottom"/>
          </w:tcPr>
          <w:p>
            <w:pPr>
              <w:spacing w:after="0"/>
              <w:rPr>
                <w:sz w:val="1"/>
                <w:szCs w:val="1"/>
                <w:color w:val="auto"/>
              </w:rPr>
            </w:pPr>
          </w:p>
        </w:tc>
      </w:tr>
      <w:tr>
        <w:trPr>
          <w:trHeight w:val="196"/>
        </w:trPr>
        <w:tc>
          <w:tcPr>
            <w:tcW w:w="53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Financial leasing of flight and other equipment, supported by the Ex-Im</w:t>
            </w:r>
          </w:p>
        </w:tc>
        <w:tc>
          <w:tcPr>
            <w:tcW w:w="480" w:type="dxa"/>
            <w:vAlign w:val="bottom"/>
          </w:tcPr>
          <w:p>
            <w:pPr>
              <w:spacing w:after="0"/>
              <w:rPr>
                <w:sz w:val="17"/>
                <w:szCs w:val="17"/>
                <w:color w:val="auto"/>
              </w:rPr>
            </w:pPr>
          </w:p>
        </w:tc>
        <w:tc>
          <w:tcPr>
            <w:tcW w:w="84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tcPr>
          <w:p>
            <w:pPr>
              <w:ind w:left="40"/>
              <w:spacing w:after="0" w:line="195" w:lineRule="exact"/>
              <w:rPr>
                <w:sz w:val="20"/>
                <w:szCs w:val="20"/>
                <w:color w:val="auto"/>
              </w:rPr>
            </w:pPr>
            <w:r>
              <w:rPr>
                <w:rFonts w:ascii="Times New Roman" w:cs="Times New Roman" w:eastAsia="Times New Roman" w:hAnsi="Times New Roman"/>
                <w:sz w:val="18"/>
                <w:szCs w:val="18"/>
                <w:i w:val="1"/>
                <w:iCs w:val="1"/>
                <w:color w:val="auto"/>
              </w:rPr>
              <w:t>Fixed annual rate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Bank in the United States of America (1)</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1.37%</w:t>
            </w:r>
          </w:p>
        </w:tc>
        <w:tc>
          <w:tcPr>
            <w:tcW w:w="2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4,922</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11,214</w:t>
            </w:r>
          </w:p>
        </w:tc>
        <w:tc>
          <w:tcPr>
            <w:tcW w:w="0" w:type="dxa"/>
            <w:vAlign w:val="bottom"/>
          </w:tcPr>
          <w:p>
            <w:pPr>
              <w:spacing w:after="0"/>
              <w:rPr>
                <w:sz w:val="1"/>
                <w:szCs w:val="1"/>
                <w:color w:val="auto"/>
              </w:rPr>
            </w:pPr>
          </w:p>
        </w:tc>
      </w:tr>
      <w:tr>
        <w:trPr>
          <w:trHeight w:val="196"/>
        </w:trPr>
        <w:tc>
          <w:tcPr>
            <w:tcW w:w="53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Finance leases of flight simulator</w:t>
            </w:r>
          </w:p>
        </w:tc>
        <w:tc>
          <w:tcPr>
            <w:tcW w:w="4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i w:val="1"/>
                <w:iCs w:val="1"/>
                <w:color w:val="auto"/>
              </w:rPr>
              <w:t>Fixed annual rate</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of 6.88%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5,269</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6,051</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Financial Leasing</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86,187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40" w:type="dxa"/>
            <w:vAlign w:val="bottom"/>
            <w:vMerge w:val="restart"/>
          </w:tcPr>
          <w:p>
            <w:pPr>
              <w:spacing w:after="0"/>
              <w:rPr>
                <w:sz w:val="13"/>
                <w:szCs w:val="13"/>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Nominal interest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12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3"/>
                <w:szCs w:val="13"/>
                <w:color w:val="auto"/>
              </w:rPr>
            </w:pPr>
          </w:p>
        </w:tc>
        <w:tc>
          <w:tcPr>
            <w:tcW w:w="7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8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2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Lease Liabilities (IFRS 16)</w:t>
            </w: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2,752,214</w:t>
            </w: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2,438,437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2,838,401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2,551,912</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and Borrowings, including Leases</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4,002,476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3,714,470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Borrowing Costs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(11,725)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(13,557)</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Loans and Borrowings, including Leases</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3,990,751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3,700,913</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Less current installments of financial debt</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(87,630)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(89,046)</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Less current installments of leases</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(404,626)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(359,251)</w:t>
            </w:r>
          </w:p>
        </w:tc>
        <w:tc>
          <w:tcPr>
            <w:tcW w:w="0" w:type="dxa"/>
            <w:vAlign w:val="bottom"/>
          </w:tcPr>
          <w:p>
            <w:pPr>
              <w:spacing w:after="0"/>
              <w:rPr>
                <w:sz w:val="1"/>
                <w:szCs w:val="1"/>
                <w:color w:val="auto"/>
              </w:rPr>
            </w:pPr>
          </w:p>
        </w:tc>
      </w:tr>
      <w:tr>
        <w:trPr>
          <w:trHeight w:val="194"/>
        </w:trPr>
        <w:tc>
          <w:tcPr>
            <w:tcW w:w="52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current installments of Loans and Borrowings, including</w:t>
            </w: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(492,256)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(448,297)</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debt</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3,510,220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3,266,173</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borrowing costs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(11,725)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(13,557)</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non-current Loans and Borrowings, including Leases</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3,498,495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3,252,616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320" w:hanging="424"/>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contracts establish certain commitments for the Group, including: to comply with affirmative and negative covenants; to provide certain financial information and reports of fleet variances; to comply with conditions and terms agreed upon with third parties, mainly as concerns to payment of documented commitments; as well as restrictions for the Group for selling or transferring all or a significant portion of assets.</w:t>
      </w:r>
    </w:p>
    <w:p>
      <w:pPr>
        <w:spacing w:after="0" w:line="7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the Group is in compliance with its covenants.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8" w:lineRule="exact"/>
        <w:rPr>
          <w:sz w:val="20"/>
          <w:szCs w:val="20"/>
          <w:color w:val="auto"/>
        </w:rPr>
      </w:pPr>
    </w:p>
    <w:p>
      <w:pPr>
        <w:ind w:left="540" w:right="60" w:hanging="424"/>
        <w:spacing w:after="0" w:line="258"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Notes (guaranteed by Aerovías de México, S. A. de C. V. (“Aeroméxico”), Aerolitoral, S. A. de C. V. (“Aerolitoral”), PLM Premier, S. A. P. I. de C. V. (“PLM”) and Aerovías Empresa de Cargo, S.A. de C.V.) of $500 million due 2029 with a coupon of 8.250% and $610 million due 2031 with a coupon of 8.625% (together the “Notes”). The Notes were offered in the United States only to persons reasonably believed to be qualified institutional buyers pursuant to Rule 144A under the Securities Act of 1933, as amended (the “Securities Act”) and outside the United States to non-U.S. persons pursuant to Regulation S under the Securities Act.</w:t>
      </w:r>
    </w:p>
    <w:p>
      <w:pPr>
        <w:spacing w:after="0" w:line="75"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Aeroméxico signed a $200 million syndicated revolving loan agreement guaranteed by Grupo Aeroméxico and Aerolitoral, with SOFR rate plus 285 basis points and a three-year timeframe. As of September 30, 2025 the Group has not utilized this credit facility.</w:t>
      </w:r>
    </w:p>
    <w:p>
      <w:pPr>
        <w:spacing w:after="0" w:line="53" w:lineRule="exact"/>
        <w:rPr>
          <w:rFonts w:ascii="Times New Roman" w:cs="Times New Roman" w:eastAsia="Times New Roman" w:hAnsi="Times New Roman"/>
          <w:sz w:val="18"/>
          <w:szCs w:val="18"/>
          <w:color w:val="auto"/>
        </w:rPr>
      </w:pPr>
    </w:p>
    <w:p>
      <w:pPr>
        <w:ind w:left="560" w:right="2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Likewise, there are obligations in some contracts to notify of changes of shareholders and any adverse modification of the financial situation. Furthermore, some contracts foresee the possibility of an early termination and describe circumstances to obtain temporary waivers.</w:t>
      </w:r>
    </w:p>
    <w:p>
      <w:pPr>
        <w:spacing w:after="0" w:line="31" w:lineRule="exact"/>
        <w:rPr>
          <w:rFonts w:ascii="Times New Roman" w:cs="Times New Roman" w:eastAsia="Times New Roman" w:hAnsi="Times New Roman"/>
          <w:sz w:val="18"/>
          <w:szCs w:val="18"/>
          <w:color w:val="auto"/>
        </w:rPr>
      </w:pPr>
    </w:p>
    <w:p>
      <w:pPr>
        <w:ind w:left="5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loans had installments throughout the year. As of September 30, 2025, future maturities of loans and borrowings, net of borrowing costs are as follows: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720" w:type="dxa"/>
            <w:vAlign w:val="bottom"/>
            <w:gridSpan w:val="3"/>
            <w:vMerge w:val="continue"/>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leasing</w:t>
            </w:r>
          </w:p>
        </w:tc>
        <w:tc>
          <w:tcPr>
            <w:tcW w:w="104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54,076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33,554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404,626</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2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2027</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23,662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385,620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2028</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18,494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376,782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2029</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489,224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10,122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333,802</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2030</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289,362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2031 and thereafter</w:t>
            </w:r>
          </w:p>
        </w:tc>
        <w:tc>
          <w:tcPr>
            <w:tcW w:w="2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609,050</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962,022</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1,571,072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1,098,274</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52,633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2,347,588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3,498,495</w:t>
            </w:r>
          </w:p>
        </w:tc>
        <w:tc>
          <w:tcPr>
            <w:tcW w:w="0" w:type="dxa"/>
            <w:vAlign w:val="bottom"/>
          </w:tcPr>
          <w:p>
            <w:pPr>
              <w:spacing w:after="0"/>
              <w:rPr>
                <w:sz w:val="1"/>
                <w:szCs w:val="1"/>
                <w:color w:val="auto"/>
              </w:rPr>
            </w:pPr>
          </w:p>
        </w:tc>
      </w:tr>
      <w:tr>
        <w:trPr>
          <w:trHeight w:val="223"/>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loans and borrowings</w:t>
            </w:r>
          </w:p>
        </w:tc>
        <w:tc>
          <w:tcPr>
            <w:tcW w:w="2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1,152,350</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86,187</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2,752,214</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3,990,751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2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5" w:right="6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Reconciliation of movements of liabilities to cash flows arising from financing activities-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Loans and</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1,262,476</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2,438,437</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3,700,913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Proceeds for loans and borrowings</w:t>
            </w:r>
          </w:p>
        </w:tc>
        <w:tc>
          <w:tcPr>
            <w:tcW w:w="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borrowings</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(92,704)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(269,036)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(361,740)</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changes from financing cash flows</w:t>
            </w:r>
          </w:p>
        </w:tc>
        <w:tc>
          <w:tcPr>
            <w:tcW w:w="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(269,036)</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movements in foreign exchange rates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leases</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582,813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75,809</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167,355</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finance costs accrued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other finance costs paid</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(54,299)</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(164,737)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(219,036)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interest reversed, net</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(22,435)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(25,053)</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1,238,537</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2,752,214</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3,990,751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121" w:lineRule="exact"/>
        <w:rPr>
          <w:rFonts w:ascii="Times New Roman" w:cs="Times New Roman" w:eastAsia="Times New Roman" w:hAnsi="Times New Roman"/>
          <w:sz w:val="18"/>
          <w:szCs w:val="18"/>
          <w:b w:val="1"/>
          <w:bCs w:val="1"/>
          <w:color w:val="auto"/>
        </w:rPr>
      </w:pPr>
    </w:p>
    <w:p>
      <w:pPr>
        <w:ind w:left="560" w:right="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defined pension and retirement plans covering some of its employees. The benefits of such plans are calculated based on salary levels, years of service, mortality and expected future salary increase. The Group periodically makes contributions to trust funds based on actuarial calculations to finance part of the cost of these plans. The trust funds are mainly invested in fixed-income securities. Actuarial calculations for these plans result in accumulated benefit obligations in excess of the plan assets.</w:t>
      </w:r>
    </w:p>
    <w:p>
      <w:pPr>
        <w:spacing w:after="0" w:line="71" w:lineRule="exact"/>
        <w:rPr>
          <w:rFonts w:ascii="Times New Roman" w:cs="Times New Roman" w:eastAsia="Times New Roman" w:hAnsi="Times New Roman"/>
          <w:sz w:val="18"/>
          <w:szCs w:val="18"/>
          <w:b w:val="1"/>
          <w:bCs w:val="1"/>
          <w:color w:val="auto"/>
        </w:rPr>
      </w:pPr>
    </w:p>
    <w:p>
      <w:pPr>
        <w:ind w:left="5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Seniority premiums are provided to all employees under the Mexican Labor Law. The Law provides that seniority premiums are payable, based on salary and years of service, to employees who resign or are terminated after at least fifteen years of service. Under the Law, benefits are also payable to employees who are dismissed.</w:t>
      </w:r>
    </w:p>
    <w:p>
      <w:pPr>
        <w:spacing w:after="0" w:line="67" w:lineRule="exact"/>
        <w:rPr>
          <w:rFonts w:ascii="Times New Roman" w:cs="Times New Roman" w:eastAsia="Times New Roman" w:hAnsi="Times New Roman"/>
          <w:sz w:val="18"/>
          <w:szCs w:val="18"/>
          <w:b w:val="1"/>
          <w:bCs w:val="1"/>
          <w:color w:val="auto"/>
        </w:rPr>
      </w:pPr>
    </w:p>
    <w:p>
      <w:pPr>
        <w:ind w:left="560" w:right="8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defined benefit costs amounted $27,171 and $21,613 during the nine-month periods ended September 30, 2025 and 2024, respectively ($9,444 and $5,028 for the three-month periods ended September 30, 2025 and 2024,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Provisions-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aircraft</w:t>
            </w: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Litigations</w:t>
            </w:r>
          </w:p>
        </w:tc>
        <w:tc>
          <w:tcPr>
            <w:tcW w:w="142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060" w:type="dxa"/>
            <w:vAlign w:val="bottom"/>
            <w:gridSpan w:val="2"/>
            <w:vMerge w:val="continue"/>
          </w:tcPr>
          <w:p>
            <w:pPr>
              <w:spacing w:after="0"/>
              <w:rPr>
                <w:sz w:val="15"/>
                <w:szCs w:val="15"/>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consideration (1)</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310,085</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3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59,218</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59,218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(7,545)</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(3,778)</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(11,323)</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361,758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3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non-current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(321,954)</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(321,954)</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Current balance as of September 30, 2025</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3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270,989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9,751</w:t>
            </w: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24,000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304,740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95,092</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6,149</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101,300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(55,996)</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(1,725)</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(24,059)</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(81,780)</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310,085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3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non-current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(207,093)</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(207,093)</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Current balance as of December 31, 2024</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3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Corresponds to an earnout performance provision regarding PLM acquisition.</w:t>
      </w:r>
    </w:p>
    <w:p>
      <w:pPr>
        <w:spacing w:after="0" w:line="370"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and other payables-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Group trade and other payables as of September 30, 2025 and December 31, 2024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41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7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Suppliers</w:t>
            </w:r>
          </w:p>
        </w:tc>
        <w:tc>
          <w:tcPr>
            <w:tcW w:w="3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$1,306,501</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1,355,243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taxes</w:t>
            </w:r>
          </w:p>
        </w:tc>
        <w:tc>
          <w:tcPr>
            <w:tcW w:w="4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278,514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274,901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4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70,120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22,091</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trade and other payables</w:t>
            </w:r>
          </w:p>
        </w:tc>
        <w:tc>
          <w:tcPr>
            <w:tcW w:w="3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1,655,135</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300" w:type="dxa"/>
            <w:vAlign w:val="bottom"/>
            <w:vMerge w:val="restart"/>
          </w:tcPr>
          <w:p>
            <w:pPr>
              <w:jc w:val="right"/>
              <w:ind w:right="2055"/>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5" w:right="8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Share-based payment arrangements-</w:t>
      </w:r>
    </w:p>
    <w:p>
      <w:pPr>
        <w:spacing w:after="0" w:line="131"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share-based payment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2025 the Group had the following share-based payment arrangements:</w:t>
      </w:r>
    </w:p>
    <w:p>
      <w:pPr>
        <w:spacing w:after="0" w:line="131"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programs-</w:t>
      </w:r>
    </w:p>
    <w:p>
      <w:pPr>
        <w:spacing w:after="0" w:line="117"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On December 22, 2022, the Group granted restricted shares to certain key management personnel and senior employees subject to certain service and non-market performance conditions with vesting periods from 6 months to 3 years.</w:t>
      </w:r>
    </w:p>
    <w:p>
      <w:pPr>
        <w:spacing w:after="0" w:line="54" w:lineRule="exact"/>
        <w:rPr>
          <w:sz w:val="20"/>
          <w:szCs w:val="20"/>
          <w:color w:val="auto"/>
        </w:rPr>
      </w:pPr>
    </w:p>
    <w:p>
      <w:pPr>
        <w:ind w:left="560" w:right="360"/>
        <w:spacing w:after="0" w:line="282" w:lineRule="auto"/>
        <w:rPr>
          <w:sz w:val="20"/>
          <w:szCs w:val="20"/>
          <w:color w:val="auto"/>
        </w:rPr>
      </w:pPr>
      <w:r>
        <w:rPr>
          <w:rFonts w:ascii="Times New Roman" w:cs="Times New Roman" w:eastAsia="Times New Roman" w:hAnsi="Times New Roman"/>
          <w:sz w:val="18"/>
          <w:szCs w:val="18"/>
          <w:color w:val="auto"/>
        </w:rPr>
        <w:t>On February 28, 2023, the Group established a new plan to grant restricted shares to certain key management personnel and senior employees subject to certain service and non-market performance conditions with vesting up to 4 years.</w:t>
      </w:r>
    </w:p>
    <w:p>
      <w:pPr>
        <w:spacing w:after="0" w:line="54"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On August 27, 2024, the Group established a new plan to grant restricted shares to certain key management personnel and senior employees subject to certain service and non-market performance conditions with vesting up to 3 years.</w:t>
      </w:r>
    </w:p>
    <w:p>
      <w:pPr>
        <w:spacing w:after="0" w:line="54"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On April 1, 2025, the Group established a new plan to grant restricted shares to certain key management personnel and senior employees subject to certain service and non-market performance conditions with vesting up to 3 years.</w:t>
      </w:r>
    </w:p>
    <w:p>
      <w:pPr>
        <w:spacing w:after="0" w:line="54"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The key terms and conditions related to the grants under these programs as of September 30, 2025 are as follows; all awards are to be settled by the physical delivery of shares.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 / employees entitled</w:t>
            </w:r>
          </w:p>
        </w:tc>
        <w:tc>
          <w:tcPr>
            <w:tcW w:w="3120" w:type="dxa"/>
            <w:vAlign w:val="bottom"/>
            <w:vMerge w:val="restart"/>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494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Vesting conditions</w:t>
            </w:r>
          </w:p>
        </w:tc>
        <w:tc>
          <w:tcPr>
            <w:tcW w:w="0" w:type="dxa"/>
            <w:vAlign w:val="bottom"/>
          </w:tcPr>
          <w:p>
            <w:pPr>
              <w:spacing w:after="0"/>
              <w:rPr>
                <w:sz w:val="1"/>
                <w:szCs w:val="1"/>
                <w:color w:val="auto"/>
              </w:rPr>
            </w:pPr>
          </w:p>
        </w:tc>
      </w:tr>
      <w:tr>
        <w:trPr>
          <w:trHeight w:val="180"/>
        </w:trPr>
        <w:tc>
          <w:tcPr>
            <w:tcW w:w="192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96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4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04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Shares granted to key management personnel and senior</w:t>
            </w: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22, 2022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909,090</w:t>
            </w: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 months to 3 years’ service from grant date.</w:t>
            </w:r>
          </w:p>
        </w:tc>
        <w:tc>
          <w:tcPr>
            <w:tcW w:w="0" w:type="dxa"/>
            <w:vAlign w:val="bottom"/>
          </w:tcPr>
          <w:p>
            <w:pPr>
              <w:spacing w:after="0"/>
              <w:rPr>
                <w:sz w:val="1"/>
                <w:szCs w:val="1"/>
                <w:color w:val="auto"/>
              </w:rPr>
            </w:pPr>
          </w:p>
        </w:tc>
      </w:tr>
      <w:tr>
        <w:trPr>
          <w:trHeight w:val="198"/>
        </w:trPr>
        <w:tc>
          <w:tcPr>
            <w:tcW w:w="5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December 22, 2022</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2-3 years’ service from grant date, subject to the achievement of</w:t>
            </w: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2,721,790</w:t>
            </w:r>
          </w:p>
        </w:tc>
        <w:tc>
          <w:tcPr>
            <w:tcW w:w="5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certain non-market performance goals.</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28, 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354,850</w:t>
            </w: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 months to 4 years’ service from grant date.</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27, 2024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200,110</w:t>
            </w:r>
          </w:p>
        </w:tc>
        <w:tc>
          <w:tcPr>
            <w:tcW w:w="5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 months to 3 years’ service from grant date.</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2025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126,040</w:t>
            </w: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1-3 years’ service from grant date.</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(4,031,635)</w:t>
            </w:r>
          </w:p>
        </w:tc>
        <w:tc>
          <w:tcPr>
            <w:tcW w:w="5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number of exercised or forfeited shares.</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shares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restricted shares after split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2,802,450</w:t>
            </w:r>
          </w:p>
        </w:tc>
        <w:tc>
          <w:tcPr>
            <w:tcW w:w="5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See Note 18</w:t>
            </w:r>
          </w:p>
        </w:tc>
        <w:tc>
          <w:tcPr>
            <w:tcW w:w="0" w:type="dxa"/>
            <w:vAlign w:val="bottom"/>
          </w:tcPr>
          <w:p>
            <w:pPr>
              <w:spacing w:after="0"/>
              <w:rPr>
                <w:sz w:val="1"/>
                <w:szCs w:val="1"/>
                <w:color w:val="auto"/>
              </w:rPr>
            </w:pPr>
          </w:p>
        </w:tc>
      </w:tr>
      <w:tr>
        <w:trPr>
          <w:trHeight w:val="372"/>
        </w:trPr>
        <w:tc>
          <w:tcPr>
            <w:tcW w:w="19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2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Measurement of fair values –</w:t>
      </w:r>
    </w:p>
    <w:p>
      <w:pPr>
        <w:spacing w:after="0" w:line="121"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The fair value of the above-mentioned restricted shares at grant date amounts in the range of Ps.184.78 to Ps.404.51 pesos per share. The shares have been deposited and are part of a Mexican Trust.</w:t>
      </w:r>
    </w:p>
    <w:p>
      <w:pPr>
        <w:spacing w:after="0" w:line="63"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outstanding restricted shares –</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outstanding restricted shares under the program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20" w:type="dxa"/>
            <w:vAlign w:val="bottom"/>
          </w:tcPr>
          <w:p>
            <w:pPr>
              <w:spacing w:after="0"/>
              <w:rPr>
                <w:sz w:val="10"/>
                <w:szCs w:val="10"/>
                <w:color w:val="auto"/>
              </w:rPr>
            </w:pPr>
          </w:p>
        </w:tc>
        <w:tc>
          <w:tcPr>
            <w:tcW w:w="11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Ps. fair value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 share at</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15"/>
                <w:szCs w:val="15"/>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1,920,306</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126,040</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404.51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(1,756,790)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191.34</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(9,311)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184.78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280,245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after split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2,802,450</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value of the total shares delivered during the nine-month period ended on September 30, 2025 amounted to $16,448 (2024: $16,331).</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20" w:type="dxa"/>
            <w:vAlign w:val="bottom"/>
          </w:tcPr>
          <w:p>
            <w:pPr>
              <w:spacing w:after="0"/>
              <w:rPr>
                <w:sz w:val="10"/>
                <w:szCs w:val="10"/>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Ps. fair value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 share at</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3,490,208</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200,110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341.75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(1,745,566)</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187.97</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(24,446)</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184.78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1,920,306</w:t>
            </w: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In addition to the stocks exercised in this programs, during the nine-month period ended on September 30, 2025, the Group granted 33,875 shares to certain Board members (for the year ended on December 31, 2024: 38,856 shares).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320" w:top="455"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560" w:right="8560" w:hanging="444"/>
        <w:spacing w:after="0" w:line="400" w:lineRule="auto"/>
        <w:tabs>
          <w:tab w:leader="none" w:pos="552"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equity-Structure of capital stock-</w:t>
      </w:r>
    </w:p>
    <w:p>
      <w:pPr>
        <w:ind w:left="560" w:right="4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the nine-month period ended on September 30, 2024, 1,710,074 shares were assigned to certain key management personnel equivalent to $16,331.</w:t>
      </w:r>
    </w:p>
    <w:p>
      <w:pPr>
        <w:spacing w:after="0" w:line="53" w:lineRule="exact"/>
        <w:rPr>
          <w:rFonts w:ascii="Times New Roman" w:cs="Times New Roman" w:eastAsia="Times New Roman" w:hAnsi="Times New Roman"/>
          <w:sz w:val="17"/>
          <w:szCs w:val="17"/>
          <w:b w:val="1"/>
          <w:bCs w:val="1"/>
          <w:color w:val="auto"/>
        </w:rPr>
      </w:pPr>
    </w:p>
    <w:p>
      <w:pPr>
        <w:ind w:left="5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July 25, 2024, the Shareholders of the Company resolved in favor of carrying out a capital stock decrease, without canceling shares, in favor of the shareholders for an amount of $3.00 dollars per share representing the Company’s share capital ($409,272 in total).</w:t>
      </w:r>
    </w:p>
    <w:p>
      <w:pPr>
        <w:spacing w:after="0" w:line="53" w:lineRule="exact"/>
        <w:rPr>
          <w:rFonts w:ascii="Times New Roman" w:cs="Times New Roman" w:eastAsia="Times New Roman" w:hAnsi="Times New Roman"/>
          <w:sz w:val="17"/>
          <w:szCs w:val="17"/>
          <w:b w:val="1"/>
          <w:bCs w:val="1"/>
          <w:color w:val="auto"/>
        </w:rPr>
      </w:pPr>
    </w:p>
    <w:p>
      <w:pPr>
        <w:ind w:left="560" w:right="1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September 30, 2024 the capital stock of the Company was represented by 136,423,959 ordinary shares, nominative, with no par value, out of which 5,000 shares represented the fixed portion and 136,418,959 shares represented the variable portion.</w:t>
      </w:r>
    </w:p>
    <w:p>
      <w:pPr>
        <w:spacing w:after="0" w:line="53" w:lineRule="exact"/>
        <w:rPr>
          <w:rFonts w:ascii="Times New Roman" w:cs="Times New Roman" w:eastAsia="Times New Roman" w:hAnsi="Times New Roman"/>
          <w:sz w:val="17"/>
          <w:szCs w:val="17"/>
          <w:b w:val="1"/>
          <w:bCs w:val="1"/>
          <w:color w:val="auto"/>
        </w:rPr>
      </w:pPr>
    </w:p>
    <w:p>
      <w:pPr>
        <w:ind w:left="560" w:right="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August 25, 2025, the Shareholders of the Company approved a 1-to-10 stock split of our authorized, issued and outstanding common shares. Following the split, our common shares remain registered, nominative and with no par value. Accordingly, the number of our authorized common shares increased from 150,066,355 (out of which 13,642,396 were treasury shares) to 1,500,663,550 (out of which 136,423,960 are treasury shares), and the numbers of our issued and outstanding and treasury common shares were each adjusted accordingly at a 1-to-10 ratio. The capital stock split did not affect our Shareholders’ proportional ownership or corporate rights.</w:t>
      </w:r>
    </w:p>
    <w:p>
      <w:pPr>
        <w:spacing w:after="0" w:line="75" w:lineRule="exact"/>
        <w:rPr>
          <w:rFonts w:ascii="Times New Roman" w:cs="Times New Roman" w:eastAsia="Times New Roman" w:hAnsi="Times New Roman"/>
          <w:sz w:val="17"/>
          <w:szCs w:val="17"/>
          <w:b w:val="1"/>
          <w:bCs w:val="1"/>
          <w:color w:val="auto"/>
        </w:rPr>
      </w:pPr>
    </w:p>
    <w:p>
      <w:pPr>
        <w:ind w:left="560" w:right="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the nine-month period ended on September 30, 2025, 1,790,665 shares (prior to the split) were assigned to certain key management personnel (including 33,875 to certain Board members) equivalent to $17,137.</w:t>
      </w:r>
    </w:p>
    <w:p>
      <w:pPr>
        <w:spacing w:after="0" w:line="53" w:lineRule="exact"/>
        <w:rPr>
          <w:rFonts w:ascii="Times New Roman" w:cs="Times New Roman" w:eastAsia="Times New Roman" w:hAnsi="Times New Roman"/>
          <w:sz w:val="17"/>
          <w:szCs w:val="17"/>
          <w:b w:val="1"/>
          <w:bCs w:val="1"/>
          <w:color w:val="auto"/>
        </w:rPr>
      </w:pPr>
    </w:p>
    <w:p>
      <w:pPr>
        <w:ind w:left="560" w:right="1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September 30, 2025, the capital stock of the Company is represented by 1,364,239,590 ordinary shares, nominative, with no par value, out of which 5,000 shares represented the fixed portion and 1,364,234,590 shares represented the variable portion.</w:t>
      </w:r>
    </w:p>
    <w:p>
      <w:pPr>
        <w:spacing w:after="0" w:line="306"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calculation of the basic earnings per share at September 30, 2025 was based on the income for the nine-month period of $186,945 (September 30, 2024: $542,045), and for the three-month period ended September 30, 2025 of $96,978 (September 30, 2024: $195,382) and a weighted average number of ordinary shares outstanding of 1,364,239,590 (after the split) (September 30, 2024: 1,364,239,590 (also restated after the split)). The Company has 9,937,290 (after the split) dilutive potential shares of September 30, 2025 (September 30, 2024: 28,587,420).</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rFonts w:ascii="Times New Roman" w:cs="Times New Roman" w:eastAsia="Times New Roman" w:hAnsi="Times New Roman"/>
          <w:sz w:val="18"/>
          <w:szCs w:val="18"/>
          <w:b w:val="1"/>
          <w:bCs w:val="1"/>
          <w:color w:val="auto"/>
        </w:rPr>
      </w:pPr>
    </w:p>
    <w:p>
      <w:pPr>
        <w:ind w:left="5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expense is recognized at an amount determined by multiplying the profit before tax for the interim reporting period by Management’s best estimate of the weighted-average annual income tax rate expected for the full financial year, adjusted for the tax effect of certain items recognized in full in the interim period. As such, the effective tax rate in the condensed consolidated interim financial statements may differ from Management’s estimate of the effective tax rate for the annual financial statements.</w:t>
      </w:r>
    </w:p>
    <w:p>
      <w:pPr>
        <w:spacing w:after="0" w:line="71" w:lineRule="exact"/>
        <w:rPr>
          <w:rFonts w:ascii="Times New Roman" w:cs="Times New Roman" w:eastAsia="Times New Roman" w:hAnsi="Times New Roman"/>
          <w:sz w:val="18"/>
          <w:szCs w:val="18"/>
          <w:b w:val="1"/>
          <w:bCs w:val="1"/>
          <w:color w:val="auto"/>
        </w:rPr>
      </w:pPr>
    </w:p>
    <w:p>
      <w:pPr>
        <w:ind w:lef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estimated consolidated effective tax rate in respect of continuing operations for the nine-month period ended September 30, 2025 was 20% (2024: 12%), and for the three-month period ended September 30, 2025 was 20% (2024: 23%).</w:t>
      </w:r>
    </w:p>
    <w:p>
      <w:pPr>
        <w:spacing w:after="0" w:line="306"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fair value and risk management-</w:t>
      </w:r>
    </w:p>
    <w:p>
      <w:pPr>
        <w:spacing w:after="0" w:line="131"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Accounting classifications and fair values</w:t>
      </w:r>
    </w:p>
    <w:p>
      <w:pPr>
        <w:spacing w:after="0" w:line="121"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The following table shows the carrying amounts and fair values of financial assets and financial liabilities, including their levels in the fair value hierarchy. It does not include fair value information for financial assets and financial liabilities not measured at fair value if the carrying amount is a reasonable approximation of fair value.</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Loans and borrowings not carried out at fair value -</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Loans in Ps.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leasing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Loans in Ps.</w:t>
            </w:r>
          </w:p>
        </w:tc>
        <w:tc>
          <w:tcPr>
            <w:tcW w:w="1160" w:type="dxa"/>
            <w:vAlign w:val="bottom"/>
            <w:gridSpan w:val="2"/>
            <w:vMerge w:val="continue"/>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Loans in US</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flight</w:t>
            </w:r>
          </w:p>
        </w:tc>
        <w:tc>
          <w:tcPr>
            <w:tcW w:w="0" w:type="dxa"/>
            <w:vAlign w:val="bottom"/>
          </w:tcPr>
          <w:p>
            <w:pPr>
              <w:spacing w:after="0"/>
              <w:rPr>
                <w:sz w:val="1"/>
                <w:szCs w:val="1"/>
                <w:color w:val="auto"/>
              </w:rPr>
            </w:pPr>
          </w:p>
        </w:tc>
      </w:tr>
      <w:tr>
        <w:trPr>
          <w:trHeight w:val="148"/>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5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(TIIE -</w:t>
            </w:r>
          </w:p>
        </w:tc>
        <w:tc>
          <w:tcPr>
            <w:tcW w:w="122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0" w:type="dxa"/>
            <w:vAlign w:val="bottom"/>
          </w:tcPr>
          <w:p>
            <w:pPr>
              <w:spacing w:after="0"/>
              <w:rPr>
                <w:sz w:val="1"/>
                <w:szCs w:val="1"/>
                <w:color w:val="auto"/>
              </w:rPr>
            </w:pPr>
          </w:p>
        </w:tc>
      </w:tr>
      <w:tr>
        <w:trPr>
          <w:trHeight w:val="160"/>
        </w:trPr>
        <w:tc>
          <w:tcPr>
            <w:tcW w:w="3360" w:type="dxa"/>
            <w:vAlign w:val="bottom"/>
            <w:gridSpan w:val="3"/>
            <w:vMerge w:val="continue"/>
          </w:tcPr>
          <w:p>
            <w:pPr>
              <w:spacing w:after="0"/>
              <w:rPr>
                <w:sz w:val="13"/>
                <w:szCs w:val="13"/>
                <w:color w:val="auto"/>
              </w:rPr>
            </w:pPr>
          </w:p>
        </w:tc>
        <w:tc>
          <w:tcPr>
            <w:tcW w:w="2500" w:type="dxa"/>
            <w:vAlign w:val="bottom"/>
          </w:tcPr>
          <w:p>
            <w:pPr>
              <w:spacing w:after="0"/>
              <w:rPr>
                <w:sz w:val="13"/>
                <w:szCs w:val="13"/>
                <w:color w:val="auto"/>
              </w:rPr>
            </w:pPr>
          </w:p>
        </w:tc>
        <w:tc>
          <w:tcPr>
            <w:tcW w:w="118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11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12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7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in USD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Loans and borrowings</w:t>
            </w:r>
          </w:p>
        </w:tc>
        <w:tc>
          <w:tcPr>
            <w:tcW w:w="25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Book value</w:t>
            </w:r>
          </w:p>
        </w:tc>
        <w:tc>
          <w:tcPr>
            <w:tcW w:w="36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39,603</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14,472</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1,098,275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tc>
        <w:tc>
          <w:tcPr>
            <w:tcW w:w="2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Level 1</w:t>
            </w:r>
          </w:p>
        </w:tc>
        <w:tc>
          <w:tcPr>
            <w:tcW w:w="25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Level 2</w:t>
            </w:r>
          </w:p>
        </w:tc>
        <w:tc>
          <w:tcPr>
            <w:tcW w:w="36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39,603</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14,272</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929,906</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Level 3</w:t>
            </w:r>
          </w:p>
        </w:tc>
        <w:tc>
          <w:tcPr>
            <w:tcW w:w="25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6"/>
              </w:rPr>
              <w:t>— </w:t>
            </w:r>
          </w:p>
        </w:tc>
        <w:tc>
          <w:tcPr>
            <w:tcW w:w="400" w:type="dxa"/>
            <w:vAlign w:val="bottom"/>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39,603</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14,272</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929,906</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Loans in Ps.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leasing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Loans in Ps.</w:t>
            </w:r>
          </w:p>
        </w:tc>
        <w:tc>
          <w:tcPr>
            <w:tcW w:w="4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Loans in US</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flight</w:t>
            </w:r>
          </w:p>
        </w:tc>
        <w:tc>
          <w:tcPr>
            <w:tcW w:w="0" w:type="dxa"/>
            <w:vAlign w:val="bottom"/>
          </w:tcPr>
          <w:p>
            <w:pPr>
              <w:spacing w:after="0"/>
              <w:rPr>
                <w:sz w:val="1"/>
                <w:szCs w:val="1"/>
                <w:color w:val="auto"/>
              </w:rPr>
            </w:pPr>
          </w:p>
        </w:tc>
      </w:tr>
      <w:tr>
        <w:trPr>
          <w:trHeight w:val="149"/>
        </w:trPr>
        <w:tc>
          <w:tcPr>
            <w:tcW w:w="5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(TIIE -</w:t>
            </w:r>
          </w:p>
        </w:tc>
        <w:tc>
          <w:tcPr>
            <w:tcW w:w="122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0" w:type="dxa"/>
            <w:vAlign w:val="bottom"/>
          </w:tcPr>
          <w:p>
            <w:pPr>
              <w:spacing w:after="0"/>
              <w:rPr>
                <w:sz w:val="1"/>
                <w:szCs w:val="1"/>
                <w:color w:val="auto"/>
              </w:rPr>
            </w:pPr>
          </w:p>
        </w:tc>
      </w:tr>
      <w:tr>
        <w:trPr>
          <w:trHeight w:val="160"/>
        </w:trPr>
        <w:tc>
          <w:tcPr>
            <w:tcW w:w="5860" w:type="dxa"/>
            <w:vAlign w:val="bottom"/>
            <w:gridSpan w:val="3"/>
            <w:vMerge w:val="continue"/>
          </w:tcPr>
          <w:p>
            <w:pPr>
              <w:spacing w:after="0"/>
              <w:rPr>
                <w:sz w:val="13"/>
                <w:szCs w:val="13"/>
                <w:color w:val="auto"/>
              </w:rPr>
            </w:pPr>
          </w:p>
        </w:tc>
        <w:tc>
          <w:tcPr>
            <w:tcW w:w="76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420" w:type="dxa"/>
            <w:vAlign w:val="bottom"/>
          </w:tcPr>
          <w:p>
            <w:pPr>
              <w:spacing w:after="0"/>
              <w:rPr>
                <w:sz w:val="13"/>
                <w:szCs w:val="13"/>
                <w:color w:val="auto"/>
              </w:rPr>
            </w:pPr>
          </w:p>
        </w:tc>
        <w:tc>
          <w:tcPr>
            <w:tcW w:w="11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12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7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in USD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Loans and borrowings</w:t>
            </w: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Book value</w:t>
            </w: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6"/>
              </w:rPr>
              <w:t>— </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52,558</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1,096,443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Level 1</w:t>
            </w: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Level 2</w:t>
            </w: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6"/>
              </w:rPr>
              <w:t>— </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52,996</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1,389,163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Level 3</w:t>
            </w:r>
          </w:p>
        </w:tc>
        <w:tc>
          <w:tcPr>
            <w:tcW w:w="7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6"/>
              </w:rPr>
              <w:t>— </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52,996</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1,389,163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Measurement of fair values</w:t>
      </w:r>
    </w:p>
    <w:p>
      <w:pPr>
        <w:spacing w:after="0" w:line="133"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Valuation techniques and significant unobservable inputs</w:t>
      </w:r>
    </w:p>
    <w:p>
      <w:pPr>
        <w:spacing w:after="0" w:line="119"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The following tables show the valuation techniques used in measuring Level 2 and Level 3 fair values for financial instruments measured at fair value in the statement of financial position, as well as the significant unobservable inputs used.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Financial instruments measured at fair value: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1900" w:type="dxa"/>
            <w:vAlign w:val="bottom"/>
          </w:tcPr>
          <w:p>
            <w:pPr>
              <w:spacing w:after="0"/>
              <w:rPr>
                <w:sz w:val="16"/>
                <w:szCs w:val="16"/>
                <w:color w:val="auto"/>
              </w:rPr>
            </w:pPr>
          </w:p>
        </w:tc>
        <w:tc>
          <w:tcPr>
            <w:tcW w:w="8820" w:type="dxa"/>
            <w:vAlign w:val="bottom"/>
            <w:tcBorders>
              <w:bottom w:val="single" w:sz="8" w:color="auto"/>
            </w:tcBorders>
          </w:tcPr>
          <w:p>
            <w:pPr>
              <w:ind w:left="38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r>
      <w:tr>
        <w:trPr>
          <w:trHeight w:val="185"/>
        </w:trPr>
        <w:tc>
          <w:tcPr>
            <w:tcW w:w="22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Corporate debt securities</w:t>
            </w:r>
          </w:p>
        </w:tc>
        <w:tc>
          <w:tcPr>
            <w:tcW w:w="8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Market comparison / discounted cash flow: The fair value is estimated considering present value calculated using</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 derived from quoted yields of securities with similar maturity and credit rating that are traded in active</w:t>
            </w: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markets.</w:t>
            </w:r>
          </w:p>
        </w:tc>
      </w:tr>
      <w:tr>
        <w:trPr>
          <w:trHeight w:val="365"/>
        </w:trPr>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82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instruments not measured at fair value:</w:t>
      </w:r>
    </w:p>
    <w:p>
      <w:pPr>
        <w:sectPr>
          <w:pgSz w:w="11900" w:h="16838" w:orient="portrait"/>
          <w:cols w:equalWidth="0" w:num="1">
            <w:col w:w="11120"/>
          </w:cols>
          <w:pgMar w:left="320" w:top="455" w:right="45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Interest rate swaps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Swap models: The fair value is calculated as the present value of the estimated future cash flows. Estimates of future floating-rate cash flows are based on quoted swap rates, futures prices and interbank borrowing rates. Estimated cash flows are discounted using a yield curve constructed from similar sources and which reflects the relevant benchmark interbank rate used by market participants for this purpose when pricing interest rate swaps as well as the collateral granted or receivable. The fair value estimate is subject to a credit risk adjustment that reflects the credit risk of the Group and of the counterparty; this is calculated based on credit spreads derived from current credit default swap or bond prices.</w:t>
      </w:r>
    </w:p>
    <w:p>
      <w:pPr>
        <w:spacing w:after="0" w:line="65" w:lineRule="exact"/>
        <w:rPr>
          <w:sz w:val="20"/>
          <w:szCs w:val="20"/>
          <w:color w:val="auto"/>
        </w:rPr>
      </w:pPr>
    </w:p>
    <w:p>
      <w:pPr>
        <w:sectPr>
          <w:pgSz w:w="11900" w:h="16838" w:orient="portrait"/>
          <w:cols w:equalWidth="0" w:num="2">
            <w:col w:w="1620" w:space="720"/>
            <w:col w:w="878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Other financial liabilities*</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Discounted cash flows: The valuation model considers the present value of expected payments, discounted using a risk-adjusted discount rate.</w:t>
      </w:r>
    </w:p>
    <w:p>
      <w:pPr>
        <w:spacing w:after="0" w:line="189" w:lineRule="exact"/>
        <w:rPr>
          <w:sz w:val="20"/>
          <w:szCs w:val="20"/>
          <w:color w:val="auto"/>
        </w:rPr>
      </w:pPr>
    </w:p>
    <w:p>
      <w:pPr>
        <w:sectPr>
          <w:pgSz w:w="11900" w:h="16838" w:orient="portrait"/>
          <w:cols w:equalWidth="0" w:num="2">
            <w:col w:w="2000" w:space="340"/>
            <w:col w:w="8780"/>
          </w:cols>
          <w:pgMar w:left="320" w:top="455" w:right="459" w:bottom="1440" w:gutter="0" w:footer="0" w:header="0"/>
          <w:type w:val="continuous"/>
        </w:sectPr>
      </w:pPr>
    </w:p>
    <w:p>
      <w:pPr>
        <w:ind w:left="540" w:right="200" w:hanging="424"/>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liabilities include secured and unsecured bank loans, unsecured bond issues, convertible notes - liability component, redeemable preference share, loans from associates and finance lease liabilities.</w:t>
      </w:r>
    </w:p>
    <w:p>
      <w:pPr>
        <w:spacing w:after="0" w:line="65"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Transfers between Levels 1 and 2</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have been no transfers from Level 2 to Level 1 (nor Level 1 to 2).</w:t>
      </w:r>
    </w:p>
    <w:p>
      <w:pPr>
        <w:spacing w:after="0" w:line="129"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Level 3 fair values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financial instruments presented within Level 3.</w:t>
      </w:r>
    </w:p>
    <w:p>
      <w:pPr>
        <w:spacing w:after="0" w:line="370"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income and finance costs-</w:t>
      </w:r>
    </w:p>
    <w:p>
      <w:pPr>
        <w:spacing w:after="0" w:line="121" w:lineRule="exact"/>
        <w:rPr>
          <w:rFonts w:ascii="Times New Roman" w:cs="Times New Roman" w:eastAsia="Times New Roman" w:hAnsi="Times New Roman"/>
          <w:sz w:val="18"/>
          <w:szCs w:val="18"/>
          <w:b w:val="1"/>
          <w:bCs w:val="1"/>
          <w:color w:val="auto"/>
        </w:rPr>
      </w:pPr>
    </w:p>
    <w:p>
      <w:pPr>
        <w:ind w:left="5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finance income and finance costs for the nine-month and three-month periods ended September 30, 2025 and 2024 are presented in the next page.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6"/>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Nine-month periods ended</w:t>
            </w:r>
          </w:p>
        </w:tc>
        <w:tc>
          <w:tcPr>
            <w:tcW w:w="17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Three-month periods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gridSpan w:val="5"/>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bank deposits and other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w:t>
            </w:r>
          </w:p>
        </w:tc>
        <w:tc>
          <w:tcPr>
            <w:tcW w:w="300" w:type="dxa"/>
            <w:vAlign w:val="bottom"/>
            <w:gridSpan w:val="2"/>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68,457</w:t>
            </w:r>
          </w:p>
        </w:tc>
        <w:tc>
          <w:tcPr>
            <w:tcW w:w="10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24,942</w:t>
            </w:r>
          </w:p>
        </w:tc>
        <w:tc>
          <w:tcPr>
            <w:tcW w:w="30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115,003</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6,620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27,355</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on financial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56,806</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Letters of credit commissions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617</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82</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198</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Credit card commissions (a)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81,577</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82,644</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27,077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135,811</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58,994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employee obligation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16,214</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14,706</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5,668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leased aircraft return provision (b)</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19,872</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4,800</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7,329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334</w:t>
            </w:r>
          </w:p>
        </w:tc>
        <w:tc>
          <w:tcPr>
            <w:tcW w:w="10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46,339</w:t>
            </w:r>
          </w:p>
        </w:tc>
        <w:tc>
          <w:tcPr>
            <w:tcW w:w="10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11,250</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Bank fees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8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4,110</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1,072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to related parties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504</w:t>
            </w:r>
          </w:p>
        </w:tc>
        <w:tc>
          <w:tcPr>
            <w:tcW w:w="10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5,602</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1,875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416,432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305,399</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138,313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104,534</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finance cost recognized in profit and loss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(391,490</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(190,396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(131,693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40" w:hanging="424"/>
        <w:spacing w:after="0" w:line="261"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finance cost to collect immediately all sales transactions held through credit cards. All other credit cards commissions associated with incentive sales promotions are considered part of selling expenses.</w:t>
      </w: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1, 2024, the Group recognizes as part of its finance costs, the corresponding interest computed for the leased aircraft return provision.</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320" w:top="455" w:right="6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121" w:lineRule="exact"/>
        <w:rPr>
          <w:rFonts w:ascii="Times New Roman" w:cs="Times New Roman" w:eastAsia="Times New Roman" w:hAnsi="Times New Roman"/>
          <w:sz w:val="18"/>
          <w:szCs w:val="18"/>
          <w:b w:val="1"/>
          <w:bCs w:val="1"/>
          <w:color w:val="auto"/>
        </w:rPr>
      </w:pPr>
    </w:p>
    <w:p>
      <w:pPr>
        <w:ind w:left="5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Liabilities for loss contingencies are recorded when it is probable that a liability has been incurred and the amount thereof can be reasonably estimated. When a reasonable estimation cannot be made, qualitative disclosure is provided in the notes to the consolidated financial statements. Contingent revenues, earnings or assets are not recognized until realization is assured.</w:t>
      </w:r>
    </w:p>
    <w:p>
      <w:pPr>
        <w:spacing w:after="0" w:line="6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2025 the Group has the following significant contingencies:</w:t>
      </w:r>
    </w:p>
    <w:p>
      <w:pPr>
        <w:spacing w:after="0" w:line="113"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34" w:lineRule="exact"/>
        <w:rPr>
          <w:rFonts w:ascii="Times New Roman" w:cs="Times New Roman" w:eastAsia="Times New Roman" w:hAnsi="Times New Roman"/>
          <w:sz w:val="18"/>
          <w:szCs w:val="18"/>
          <w:b w:val="1"/>
          <w:bCs w:val="1"/>
          <w:color w:val="auto"/>
        </w:rPr>
      </w:pPr>
    </w:p>
    <w:p>
      <w:pPr>
        <w:jc w:val="both"/>
        <w:ind w:left="1080" w:hanging="532"/>
        <w:spacing w:after="0" w:line="266"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labor lawsuits in process for approximately $16.9 million. This amount represents the plaintiffs’ expectation, without considering backdated salaries that might be accrued in the event that the court sentences do not favor the Group. The Group has reserved an amount of $10.4 million, which is considered sufficient to cover possible outflows.</w:t>
      </w:r>
    </w:p>
    <w:p>
      <w:pPr>
        <w:spacing w:after="0" w:line="81" w:lineRule="exact"/>
        <w:rPr>
          <w:rFonts w:ascii="Times New Roman" w:cs="Times New Roman" w:eastAsia="Times New Roman" w:hAnsi="Times New Roman"/>
          <w:sz w:val="18"/>
          <w:szCs w:val="18"/>
          <w:color w:val="auto"/>
        </w:rPr>
      </w:pPr>
    </w:p>
    <w:p>
      <w:pPr>
        <w:ind w:left="1080" w:right="40" w:hanging="532"/>
        <w:spacing w:after="0" w:line="253"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legal challenge filed by Aeroméxico in opposition to the Ps.86.2 million fine imposed by the Mexican Economic Federal Antitrust Commission (</w:t>
      </w:r>
      <w:r>
        <w:rPr>
          <w:rFonts w:ascii="Times New Roman" w:cs="Times New Roman" w:eastAsia="Times New Roman" w:hAnsi="Times New Roman"/>
          <w:sz w:val="18"/>
          <w:szCs w:val="18"/>
          <w:i w:val="1"/>
          <w:iCs w:val="1"/>
          <w:color w:val="auto"/>
        </w:rPr>
        <w:t>Comisión Federal de Competencia Económica</w:t>
      </w:r>
      <w:r>
        <w:rPr>
          <w:rFonts w:ascii="Times New Roman" w:cs="Times New Roman" w:eastAsia="Times New Roman" w:hAnsi="Times New Roman"/>
          <w:sz w:val="18"/>
          <w:szCs w:val="18"/>
          <w:color w:val="auto"/>
        </w:rPr>
        <w:t xml:space="preserve"> or “COFECE”) in 2019 for alleged monopolistic practices in the airline sector supposedly carried out between 2008 and 2010, on February 12, 2025, the Mexican Supreme Court (“SCJN”) issued a final resolution favorable to COFECE that revoked the March 2022 lower court’s decision that nullified the fine. On June 6, 2025, the full text of the SCJN decision was published. On June 11, 2025, Aeroméxico filed a motion for clarification of the judgement (</w:t>
      </w:r>
      <w:r>
        <w:rPr>
          <w:rFonts w:ascii="Times New Roman" w:cs="Times New Roman" w:eastAsia="Times New Roman" w:hAnsi="Times New Roman"/>
          <w:sz w:val="18"/>
          <w:szCs w:val="18"/>
          <w:i w:val="1"/>
          <w:iCs w:val="1"/>
          <w:color w:val="auto"/>
        </w:rPr>
        <w:t>solicitud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aclaración de sentencia) </w:t>
      </w:r>
      <w:r>
        <w:rPr>
          <w:rFonts w:ascii="Times New Roman" w:cs="Times New Roman" w:eastAsia="Times New Roman" w:hAnsi="Times New Roman"/>
          <w:sz w:val="18"/>
          <w:szCs w:val="18"/>
          <w:color w:val="auto"/>
        </w:rPr>
        <w:t>) with the SCJN stating that several grounds for annulment identified in the original challenge were not analyzed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requesting the case to be remanded to the lower court for the corresponding analysis of the unresolved grounds for annulment. On June 13, 2025, Aeroméxico paid on an </w:t>
      </w:r>
      <w:r>
        <w:rPr>
          <w:rFonts w:ascii="Times New Roman" w:cs="Times New Roman" w:eastAsia="Times New Roman" w:hAnsi="Times New Roman"/>
          <w:sz w:val="18"/>
          <w:szCs w:val="18"/>
          <w:i w:val="1"/>
          <w:iCs w:val="1"/>
          <w:color w:val="auto"/>
        </w:rPr>
        <w:t>ad cautelam</w:t>
      </w:r>
      <w:r>
        <w:rPr>
          <w:rFonts w:ascii="Times New Roman" w:cs="Times New Roman" w:eastAsia="Times New Roman" w:hAnsi="Times New Roman"/>
          <w:sz w:val="18"/>
          <w:szCs w:val="18"/>
          <w:color w:val="auto"/>
        </w:rPr>
        <w:t xml:space="preserve"> basis the Ps.86.2 million fine. On July 4, 2025, the SCJN agreed to hear our clarification motion. On August 6, 2025, the SCJN agreed with our motion and decided to remand the case to the lower court for review of the unresolved grounds for annulment. As of the date of these financial statements, the case is under review by the lower court.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8" w:lineRule="exact"/>
        <w:rPr>
          <w:sz w:val="20"/>
          <w:szCs w:val="20"/>
          <w:color w:val="auto"/>
        </w:rPr>
      </w:pPr>
    </w:p>
    <w:p>
      <w:pPr>
        <w:ind w:left="1080" w:right="40" w:hanging="532"/>
        <w:spacing w:after="0" w:line="255"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26, 2024, the US Department of Transportation (“DOT”) issued a tentative Order to Show Cause (the “Initial Order”) to Delta and Aeroméxico, proposing to tentatively terminate the antitrust immunity (“ATI”) granted to their Joint Cooperation Agreement (“JCA”) effective October 26, 2024. Rather than evaluating potential consumer and competitive benefits of renewing the ATI and balancing them against potential harms, the Initial Order alleged that actions taken by the Mexican Government — specifically, the relocation of all-cargo operations to the Aeropuerto Internacional Felipe Ángeles (“AIFA”) and capacity reductions at the Aeropuerto Internacional de la Ciudad de México (“AICM”) — constituted breaches of the USA –Mexico Air Transport Agreement and precluded the DOT from granting ATI to the JCA. Delta and Aeroméxico filed joint objections to the Initial Order on February 23, 2024.</w:t>
      </w:r>
    </w:p>
    <w:p>
      <w:pPr>
        <w:spacing w:after="0" w:line="80" w:lineRule="exact"/>
        <w:rPr>
          <w:rFonts w:ascii="Times New Roman" w:cs="Times New Roman" w:eastAsia="Times New Roman" w:hAnsi="Times New Roman"/>
          <w:sz w:val="18"/>
          <w:szCs w:val="18"/>
          <w:color w:val="auto"/>
        </w:rPr>
      </w:pPr>
    </w:p>
    <w:p>
      <w:pPr>
        <w:ind w:left="110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26, 2025, the DOT issued a new Supplemental Order to Show Cause (the “Supplemental Order”), once again proposing to terminate the ATI granted to the JCA, this time effective October 25, 2025. The Supplemental Order reiterates the DOT’s concerns regarding the Mexican Government’s actions related to the relocation of all-cargo operations and slot management at AICM, asserting that these measures are inconsistent with the obligations under the bilateral Air Transport Agreement and preclude the existence of a fully liberalized Open Skies environment necessary for ATI.</w:t>
      </w:r>
    </w:p>
    <w:p>
      <w:pPr>
        <w:spacing w:after="0" w:line="75" w:lineRule="exact"/>
        <w:rPr>
          <w:rFonts w:ascii="Times New Roman" w:cs="Times New Roman" w:eastAsia="Times New Roman" w:hAnsi="Times New Roman"/>
          <w:sz w:val="18"/>
          <w:szCs w:val="18"/>
          <w:color w:val="auto"/>
        </w:rPr>
      </w:pPr>
    </w:p>
    <w:p>
      <w:pPr>
        <w:ind w:left="1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15, 2025, the DOT issued the Final Order terminating the antitrust immunity of the JCA, effective January 1, 2026. The Final Order directs the parties to wind down certain joint operations covered by the ATI by January 1, 2026 - such as price coordination, schedule coordination, and revenue sharing - while we may still retain arm’s-length cooperation in code sharing, frequent flyer program reciprocity and other joint marketing activities. Delta and Aeroméxico are currently analyzing the Supplemental Order and intend to timely submit a joint response within the period established by the DOT (see Note 24 a)).</w:t>
      </w:r>
    </w:p>
    <w:p>
      <w:pPr>
        <w:spacing w:after="0" w:line="88"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Group has lawsuits and claims (filed by the Group and against it) arising during the normal course of its operations. The Group with the support of its legal advisors considers that the final result of these matters will not have a significant adverse effect on its financial position and results.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jc w:val="center"/>
        <w:ind w:right="180"/>
        <w:spacing w:after="0" w:line="454" w:lineRule="auto"/>
        <w:rPr>
          <w:sz w:val="20"/>
          <w:szCs w:val="20"/>
          <w:color w:val="auto"/>
        </w:rPr>
      </w:pPr>
      <w:r>
        <w:rPr>
          <w:rFonts w:ascii="Times New Roman" w:cs="Times New Roman" w:eastAsia="Times New Roman" w:hAnsi="Times New Roman"/>
          <w:sz w:val="18"/>
          <w:szCs w:val="18"/>
          <w:color w:val="auto"/>
        </w:rPr>
        <w:t>As of September 30, 2025, there are no significant commitments in addition to those referred-to in the latest annual financial statements. 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4"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5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November 12, 2025, date of issuance of these condensed consolidated interim financial statements, the most significant subsequent events are as follows:</w:t>
      </w:r>
    </w:p>
    <w:p>
      <w:pPr>
        <w:spacing w:after="0" w:line="67" w:lineRule="exact"/>
        <w:rPr>
          <w:rFonts w:ascii="Times New Roman" w:cs="Times New Roman" w:eastAsia="Times New Roman" w:hAnsi="Times New Roman"/>
          <w:sz w:val="18"/>
          <w:szCs w:val="18"/>
          <w:b w:val="1"/>
          <w:bCs w:val="1"/>
          <w:color w:val="auto"/>
        </w:rPr>
      </w:pPr>
    </w:p>
    <w:p>
      <w:pPr>
        <w:jc w:val="both"/>
        <w:ind w:left="1080" w:right="220" w:hanging="532"/>
        <w:spacing w:after="0" w:line="261" w:lineRule="auto"/>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DOT contingency described in Note 23 c), on October 9, 2025, Delta and Aeroméxico jointly filed a petition for review before the United States Court of Appeals for the Eleventh Circuit in Atlanta, Georgia, challenging September 15, 2025 DOT’s Final Order, which terminated the approval and antitrust immunity previously granted to the joint cooperation agreement between both airlines.</w:t>
      </w:r>
    </w:p>
    <w:p>
      <w:pPr>
        <w:spacing w:after="0" w:line="71" w:lineRule="exact"/>
        <w:rPr>
          <w:rFonts w:ascii="Times New Roman" w:cs="Times New Roman" w:eastAsia="Times New Roman" w:hAnsi="Times New Roman"/>
          <w:sz w:val="18"/>
          <w:szCs w:val="18"/>
          <w:color w:val="auto"/>
        </w:rPr>
      </w:pPr>
    </w:p>
    <w:p>
      <w:pPr>
        <w:ind w:left="110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10, 2025, Aeroméxico filed with the DOT a request for stay of such Order, seeking that the Department suspend the effectiveness of the Order pending completion of the judicial review process. The DOT denied the stay request on October 24, 2025.</w:t>
      </w:r>
    </w:p>
    <w:p>
      <w:pPr>
        <w:spacing w:after="0" w:line="53" w:lineRule="exact"/>
        <w:rPr>
          <w:rFonts w:ascii="Times New Roman" w:cs="Times New Roman" w:eastAsia="Times New Roman" w:hAnsi="Times New Roman"/>
          <w:sz w:val="18"/>
          <w:szCs w:val="18"/>
          <w:color w:val="auto"/>
        </w:rPr>
      </w:pPr>
    </w:p>
    <w:p>
      <w:pPr>
        <w:ind w:left="110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Delta and Aeroméxico filed a motion before the Eleventh Circuit requesting a judicial stay of the Final Order pending review. On November 3, 2025, the DOT filed its opposition to the motion, and on November 7, 2025, Aeroméxico submitted its reply to the DOT’s objections.</w:t>
      </w:r>
    </w:p>
    <w:p>
      <w:pPr>
        <w:spacing w:after="0" w:line="6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is expected to issue its decision regarding the stay around November 14, 2025.</w:t>
      </w:r>
    </w:p>
    <w:p>
      <w:pPr>
        <w:spacing w:after="0" w:line="130" w:lineRule="exact"/>
        <w:rPr>
          <w:rFonts w:ascii="Times New Roman" w:cs="Times New Roman" w:eastAsia="Times New Roman" w:hAnsi="Times New Roman"/>
          <w:sz w:val="18"/>
          <w:szCs w:val="18"/>
          <w:color w:val="auto"/>
        </w:rPr>
      </w:pPr>
    </w:p>
    <w:p>
      <w:pPr>
        <w:ind w:left="1080" w:right="400" w:hanging="532"/>
        <w:spacing w:after="0" w:line="261" w:lineRule="auto"/>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2025, the Company’s Shareholders approved, at a duly convened shareholders’ meeting, the payment of a capital reimbursement of $0.15 dollars per share, representing an aggregate amount of $204.6 million, subject to certain conditions. On November 5, 2025 such conditions were satisfied, so the capital reimbursement was paid prior to the closing of Grupo Aeroméxico’s public offering as described below.</w:t>
      </w:r>
    </w:p>
    <w:p>
      <w:pPr>
        <w:spacing w:after="0" w:line="7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reimbursement will not result in a reduction in the number of shares outstanding, as the Company’s shares have no par value.</w:t>
      </w:r>
    </w:p>
    <w:p>
      <w:pPr>
        <w:spacing w:after="0" w:line="130"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2025, the DOT issued a regulatory action disapproving certain existing and proposed flight schedules of Mexican carriers, citing measures adopted by the Government of Mexico that, according to the DOT, impaired the operating rights of U.S. airlines under the 2015 U.S.–Mexico Air Transport Agreement.</w:t>
      </w:r>
    </w:p>
    <w:p>
      <w:pPr>
        <w:spacing w:after="0" w:line="67" w:lineRule="exact"/>
        <w:rPr>
          <w:rFonts w:ascii="Times New Roman" w:cs="Times New Roman" w:eastAsia="Times New Roman" w:hAnsi="Times New Roman"/>
          <w:sz w:val="18"/>
          <w:szCs w:val="18"/>
          <w:color w:val="auto"/>
        </w:rPr>
      </w:pPr>
    </w:p>
    <w:p>
      <w:pPr>
        <w:ind w:left="110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separate tentative order issued on the same date, the DOT also proposed prohibiting Mexican carriers from transporting cargo on combination services (“belly cargo”) between Mexico City International Airport (AICM) and any point in the United States. This order is tentative and would only become effective 108 business days after the issuance of a final order.</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40"/>
          </w:cols>
          <w:pgMar w:left="320" w:top="455"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8" w:lineRule="exact"/>
        <w:rPr>
          <w:sz w:val="20"/>
          <w:szCs w:val="20"/>
          <w:color w:val="auto"/>
        </w:rPr>
      </w:pPr>
    </w:p>
    <w:p>
      <w:pPr>
        <w:ind w:left="1100" w:right="40"/>
        <w:spacing w:after="0" w:line="282" w:lineRule="auto"/>
        <w:rPr>
          <w:sz w:val="20"/>
          <w:szCs w:val="20"/>
          <w:color w:val="auto"/>
        </w:rPr>
      </w:pPr>
      <w:r>
        <w:rPr>
          <w:rFonts w:ascii="Times New Roman" w:cs="Times New Roman" w:eastAsia="Times New Roman" w:hAnsi="Times New Roman"/>
          <w:sz w:val="18"/>
          <w:szCs w:val="18"/>
          <w:color w:val="auto"/>
        </w:rPr>
        <w:t>Management is assessing potential implications and will continue to monitor the outcome of these DOT actions. As of the date of issuance of these financial statements, Management believes that any potential impacts would be immaterial.</w:t>
      </w:r>
    </w:p>
    <w:p>
      <w:pPr>
        <w:spacing w:after="0" w:line="67"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5, 2025 Grupo Aeroméxico announced the pricing of its global offering of 11,727,325 American Depositary Shares</w:t>
      </w:r>
    </w:p>
    <w:p>
      <w:pPr>
        <w:spacing w:after="0" w:line="27" w:lineRule="exact"/>
        <w:rPr>
          <w:rFonts w:ascii="Times New Roman" w:cs="Times New Roman" w:eastAsia="Times New Roman" w:hAnsi="Times New Roman"/>
          <w:sz w:val="18"/>
          <w:szCs w:val="18"/>
          <w:color w:val="auto"/>
        </w:rPr>
      </w:pP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at a price of $19.00 dollars per ADS in the United States (the “</w:t>
      </w:r>
      <w:r>
        <w:rPr>
          <w:rFonts w:ascii="Times New Roman" w:cs="Times New Roman" w:eastAsia="Times New Roman" w:hAnsi="Times New Roman"/>
          <w:sz w:val="18"/>
          <w:szCs w:val="18"/>
          <w:u w:val="single" w:color="auto"/>
          <w:color w:val="auto"/>
        </w:rPr>
        <w:t>International Offering</w:t>
      </w:r>
      <w:r>
        <w:rPr>
          <w:rFonts w:ascii="Times New Roman" w:cs="Times New Roman" w:eastAsia="Times New Roman" w:hAnsi="Times New Roman"/>
          <w:sz w:val="18"/>
          <w:szCs w:val="18"/>
          <w:color w:val="auto"/>
        </w:rPr>
        <w:t>”) and 27,463,590 common shares at a price of Ps.35.34 per common share in Mexico (the “</w:t>
      </w:r>
      <w:r>
        <w:rPr>
          <w:rFonts w:ascii="Times New Roman" w:cs="Times New Roman" w:eastAsia="Times New Roman" w:hAnsi="Times New Roman"/>
          <w:sz w:val="18"/>
          <w:szCs w:val="18"/>
          <w:u w:val="single" w:color="auto"/>
          <w:color w:val="auto"/>
        </w:rPr>
        <w:t>Mexican Offering</w:t>
      </w:r>
      <w:r>
        <w:rPr>
          <w:rFonts w:ascii="Times New Roman" w:cs="Times New Roman" w:eastAsia="Times New Roman" w:hAnsi="Times New Roman"/>
          <w:sz w:val="18"/>
          <w:szCs w:val="18"/>
          <w:color w:val="auto"/>
        </w:rPr>
        <w:t>”, and together with the International Offering, the “</w:t>
      </w:r>
      <w:r>
        <w:rPr>
          <w:rFonts w:ascii="Times New Roman" w:cs="Times New Roman" w:eastAsia="Times New Roman" w:hAnsi="Times New Roman"/>
          <w:sz w:val="18"/>
          <w:szCs w:val="18"/>
          <w:u w:val="single" w:color="auto"/>
          <w:color w:val="auto"/>
        </w:rPr>
        <w:t>Global Offering</w:t>
      </w:r>
      <w:r>
        <w:rPr>
          <w:rFonts w:ascii="Times New Roman" w:cs="Times New Roman" w:eastAsia="Times New Roman" w:hAnsi="Times New Roman"/>
          <w:sz w:val="18"/>
          <w:szCs w:val="18"/>
          <w:color w:val="auto"/>
        </w:rPr>
        <w:t>”). Each ADS represents 10 common shares of Grupo Aeroméxico.</w:t>
      </w:r>
    </w:p>
    <w:p>
      <w:pPr>
        <w:spacing w:after="0" w:line="77" w:lineRule="exact"/>
        <w:rPr>
          <w:rFonts w:ascii="Times New Roman" w:cs="Times New Roman" w:eastAsia="Times New Roman" w:hAnsi="Times New Roman"/>
          <w:sz w:val="18"/>
          <w:szCs w:val="18"/>
          <w:color w:val="auto"/>
        </w:rPr>
      </w:pPr>
    </w:p>
    <w:p>
      <w:pPr>
        <w:ind w:left="1100"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began trading on the New York Stock Exchange and the common shares on the Bolsa Mexicana de Valores (“BMV”) on November 6, 2025, under the ticker symbol “AERO”. The Global Offering closed on November 7, 2025.</w:t>
      </w:r>
    </w:p>
    <w:p>
      <w:pPr>
        <w:spacing w:after="0" w:line="53" w:lineRule="exact"/>
        <w:rPr>
          <w:rFonts w:ascii="Times New Roman" w:cs="Times New Roman" w:eastAsia="Times New Roman" w:hAnsi="Times New Roman"/>
          <w:sz w:val="18"/>
          <w:szCs w:val="18"/>
          <w:color w:val="auto"/>
        </w:rPr>
      </w:pPr>
    </w:p>
    <w:p>
      <w:pPr>
        <w:ind w:left="110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Offering consists of (i) a primary offering of 7,394,409 ADSs in the United States and 7,000,000 common shares in Mexico, and (ii) a secondary offering of 4,332,916 ADSs in the United States and 20,463,590 common shares in Mexico, by certain shareholders of Grupo Aeroméxico (the “Selling Shareholders”). The underwriters have been granted a 30-day option to purchase up to an additional 2,171,050 ADSs from the Selling Shareholders. No over-allotment option was granted in connection with the Mexican Offering. Delta, a current shareholder and Grupo Aeroméxico’s long-term strategic business partner, did not participate in the Global Offering and entered into a four-year lock-up agreement.</w:t>
      </w:r>
    </w:p>
    <w:p>
      <w:pPr>
        <w:spacing w:after="0" w:line="79" w:lineRule="exact"/>
        <w:rPr>
          <w:rFonts w:ascii="Times New Roman" w:cs="Times New Roman" w:eastAsia="Times New Roman" w:hAnsi="Times New Roman"/>
          <w:sz w:val="18"/>
          <w:szCs w:val="18"/>
          <w:color w:val="auto"/>
        </w:rPr>
      </w:pPr>
    </w:p>
    <w:p>
      <w:pPr>
        <w:ind w:left="1100" w:right="1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Global Offering, the Company announced a concurrent private placement of approximately $25 million in common shares at a price of $1.805 dollars per common share to PAR Investment Partners, L.P. (the “Concurrent Private Placement”). The sale of the common shares in the Concurrent Private Placement will not be registered under the Securities Act of 1933, as amended (the “Securities Act”), and will be made in reliance on the exemption from registration provided by Section 4(a)(2) of the Securities Act. The Concurrent Private Placement closed on November 7, 2025.</w:t>
      </w:r>
    </w:p>
    <w:p>
      <w:pPr>
        <w:spacing w:after="0" w:line="75"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proceeds of the primary component of the Global Offering and the Concurrent Private Placement were approximately</w:t>
      </w:r>
    </w:p>
    <w:p>
      <w:pPr>
        <w:spacing w:after="0" w:line="27" w:lineRule="exact"/>
        <w:rPr>
          <w:rFonts w:ascii="Times New Roman" w:cs="Times New Roman" w:eastAsia="Times New Roman" w:hAnsi="Times New Roman"/>
          <w:sz w:val="18"/>
          <w:szCs w:val="18"/>
          <w:color w:val="auto"/>
        </w:rPr>
      </w:pPr>
    </w:p>
    <w:p>
      <w:pPr>
        <w:ind w:left="1100" w:right="2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$178.8 million, before deducting discounts and commissions of underwriters of the International Offering and the Mexican Offering. Grupo Aeroméxico intends to use a portion of the net proceeds from the primary component of the Global Offering and the Concurrent Private Placement for general corporate purposes, including payments in connection with the expansion of its fleet, investments in customer experience infrastructure, and fleet maintenance obligations.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Grupo Aeroméxico, S. A. B. de C. V. and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condensed consolidated interim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58" w:lineRule="exact"/>
        <w:rPr>
          <w:sz w:val="20"/>
          <w:szCs w:val="20"/>
          <w:color w:val="auto"/>
        </w:rPr>
      </w:pPr>
    </w:p>
    <w:p>
      <w:pPr>
        <w:ind w:left="1540"/>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with the Registro Nacional de Valores (“RNV”) maintained by the CNBV. The common shares underlying the ADSs have been registered with the RNV and will be listed on the BMV. Registration of the common shares with the RNV does not imply any certification as to the investment quality of such shares, our solvency, liquidity or credit quality, or the accuracy or completeness of the information contained in the prospectus and does not ratify or validate any actions or omissions, if any, undertaken in contravention of applicable law.</w:t>
      </w:r>
    </w:p>
    <w:p>
      <w:pPr>
        <w:spacing w:after="0" w:line="89" w:lineRule="exact"/>
        <w:rPr>
          <w:sz w:val="20"/>
          <w:szCs w:val="20"/>
          <w:color w:val="auto"/>
        </w:rPr>
      </w:pPr>
    </w:p>
    <w:p>
      <w:pPr>
        <w:ind w:left="5540" w:right="4020" w:hanging="4992"/>
        <w:spacing w:after="0" w:line="454" w:lineRule="auto"/>
        <w:tabs>
          <w:tab w:leader="none" w:pos="10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signed service agreements within the normal course of its operation. 36</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lowerLetter"/>
      <w:start w:val="1"/>
    </w:lvl>
  </w:abstractNum>
  <w:abstractNum w:abstractNumId="2">
    <w:nsid w:val="8EDBDAB"/>
    <w:multiLevelType w:val="hybridMultilevel"/>
    <w:lvl w:ilvl="0">
      <w:lvlJc w:val="left"/>
      <w:lvlText w:val="%1)"/>
      <w:numFmt w:val="lowerLetter"/>
      <w:start w:val="2"/>
    </w:lvl>
  </w:abstractNum>
  <w:abstractNum w:abstractNumId="3">
    <w:nsid w:val="79838CB2"/>
    <w:multiLevelType w:val="hybridMultilevel"/>
    <w:lvl w:ilvl="0">
      <w:lvlJc w:val="left"/>
      <w:lvlText w:val="%1)"/>
      <w:numFmt w:val="lowerLetter"/>
      <w:start w:val="3"/>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4"/>
    </w:lvl>
  </w:abstractNum>
  <w:abstractNum w:abstractNumId="7">
    <w:nsid w:val="54E49EB4"/>
    <w:multiLevelType w:val="hybridMultilevel"/>
    <w:lvl w:ilvl="0">
      <w:lvlJc w:val="left"/>
      <w:lvlText w:val="%1."/>
      <w:numFmt w:val="lowerRoman"/>
      <w:start w:val="1"/>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1."/>
      <w:numFmt w:val="lowerRoman"/>
      <w:start w:val="2"/>
    </w:lvl>
  </w:abstractNum>
  <w:abstractNum w:abstractNumId="10">
    <w:nsid w:val="836C40E"/>
    <w:multiLevelType w:val="hybridMultilevel"/>
    <w:lvl w:ilvl="0">
      <w:lvlJc w:val="left"/>
      <w:lvlText w:val="(%1)"/>
      <w:numFmt w:val="decimal"/>
      <w:start w:val="7"/>
    </w:lvl>
  </w:abstractNum>
  <w:abstractNum w:abstractNumId="11">
    <w:nsid w:val="2901D82"/>
    <w:multiLevelType w:val="hybridMultilevel"/>
    <w:lvl w:ilvl="0">
      <w:lvlJc w:val="left"/>
      <w:lvlText w:val="(%1)"/>
      <w:numFmt w:val="decimal"/>
      <w:start w:val="8"/>
    </w:lvl>
  </w:abstractNum>
  <w:abstractNum w:abstractNumId="12">
    <w:nsid w:val="3A95F874"/>
    <w:multiLevelType w:val="hybridMultilevel"/>
    <w:lvl w:ilvl="0">
      <w:lvlJc w:val="left"/>
      <w:lvlText w:val="(%1)"/>
      <w:numFmt w:val="decimal"/>
      <w:start w:val="9"/>
    </w:lvl>
  </w:abstractNum>
  <w:abstractNum w:abstractNumId="13">
    <w:nsid w:val="8138641"/>
    <w:multiLevelType w:val="hybridMultilevel"/>
    <w:lvl w:ilvl="0">
      <w:lvlJc w:val="left"/>
      <w:lvlText w:val="(%1)"/>
      <w:numFmt w:val="decimal"/>
      <w:start w:val="10"/>
    </w:lvl>
  </w:abstractNum>
  <w:abstractNum w:abstractNumId="14">
    <w:nsid w:val="1E7FF521"/>
    <w:multiLevelType w:val="hybridMultilevel"/>
    <w:lvl w:ilvl="0">
      <w:lvlJc w:val="left"/>
      <w:lvlText w:val="%1"/>
      <w:numFmt w:val="decimal"/>
      <w:start w:val="1"/>
    </w:lvl>
    <w:lvl w:ilvl="1">
      <w:lvlJc w:val="left"/>
      <w:lvlText w:val="(%2)"/>
      <w:numFmt w:val="decimal"/>
      <w:start w:val="1"/>
    </w:lvl>
  </w:abstractNum>
  <w:abstractNum w:abstractNumId="15">
    <w:nsid w:val="7C3DBD3D"/>
    <w:multiLevelType w:val="hybridMultilevel"/>
    <w:lvl w:ilvl="0">
      <w:lvlJc w:val="left"/>
      <w:lvlText w:val="(%1)"/>
      <w:numFmt w:val="decimal"/>
      <w:start w:val="11"/>
    </w:lvl>
    <w:lvl w:ilvl="1">
      <w:lvlJc w:val="left"/>
      <w:lvlText w:val="%2"/>
      <w:numFmt w:val="decimal"/>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3"/>
    </w:lvl>
  </w:abstractNum>
  <w:abstractNum w:abstractNumId="18">
    <w:nsid w:val="22221A70"/>
    <w:multiLevelType w:val="hybridMultilevel"/>
    <w:lvl w:ilvl="0">
      <w:lvlJc w:val="left"/>
      <w:lvlText w:val="%1"/>
      <w:numFmt w:val="decimal"/>
      <w:start w:val="1"/>
    </w:lvl>
    <w:lvl w:ilvl="1">
      <w:lvlJc w:val="left"/>
      <w:lvlText w:val="(%2)"/>
      <w:numFmt w:val="lowerLetter"/>
      <w:start w:val="4"/>
    </w:lvl>
  </w:abstractNum>
  <w:abstractNum w:abstractNumId="19">
    <w:nsid w:val="4516DDE9"/>
    <w:multiLevelType w:val="hybridMultilevel"/>
    <w:lvl w:ilvl="0">
      <w:lvlJc w:val="left"/>
      <w:lvlText w:val="(%1)"/>
      <w:numFmt w:val="decimal"/>
      <w:start w:val="12"/>
    </w:lvl>
    <w:lvl w:ilvl="1">
      <w:lvlJc w:val="left"/>
      <w:lvlText w:val="%2"/>
      <w:numFmt w:val="lowerLetter"/>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3"/>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2"/>
    </w:lvl>
  </w:abstractNum>
  <w:abstractNum w:abstractNumId="24">
    <w:nsid w:val="440BADFC"/>
    <w:multiLevelType w:val="hybridMultilevel"/>
    <w:lvl w:ilvl="0">
      <w:lvlJc w:val="left"/>
      <w:lvlText w:val="(%1)"/>
      <w:numFmt w:val="decimal"/>
      <w:start w:val="14"/>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6"/>
    </w:lvl>
  </w:abstractNum>
  <w:abstractNum w:abstractNumId="27">
    <w:nsid w:val="77465F01"/>
    <w:multiLevelType w:val="hybridMultilevel"/>
    <w:lvl w:ilvl="0">
      <w:lvlJc w:val="left"/>
      <w:lvlText w:val="%1."/>
      <w:numFmt w:val="upperLetter"/>
      <w:start w:val="1"/>
    </w:lvl>
  </w:abstractNum>
  <w:abstractNum w:abstractNumId="28">
    <w:nsid w:val="7724C67E"/>
    <w:multiLevelType w:val="hybridMultilevel"/>
    <w:lvl w:ilvl="0">
      <w:lvlJc w:val="left"/>
      <w:lvlText w:val="%1."/>
      <w:numFmt w:val="lowerRoman"/>
      <w:start w:val="1"/>
    </w:lvl>
  </w:abstractNum>
  <w:abstractNum w:abstractNumId="29">
    <w:nsid w:val="5C482A97"/>
    <w:multiLevelType w:val="hybridMultilevel"/>
    <w:lvl w:ilvl="0">
      <w:lvlJc w:val="left"/>
      <w:lvlText w:val="%1."/>
      <w:numFmt w:val="upperLetter"/>
      <w:start w:val="2"/>
    </w:lvl>
  </w:abstractNum>
  <w:abstractNum w:abstractNumId="30">
    <w:nsid w:val="2463B9EA"/>
    <w:multiLevelType w:val="hybridMultilevel"/>
    <w:lvl w:ilvl="0">
      <w:lvlJc w:val="left"/>
      <w:lvlText w:val="%1."/>
      <w:numFmt w:val="upperLetter"/>
      <w:start w:val="3"/>
    </w:lvl>
  </w:abstractNum>
  <w:abstractNum w:abstractNumId="31">
    <w:nsid w:val="5E884ADC"/>
    <w:multiLevelType w:val="hybridMultilevel"/>
    <w:lvl w:ilvl="0">
      <w:lvlJc w:val="left"/>
      <w:lvlText w:val="(%1)"/>
      <w:numFmt w:val="decimal"/>
      <w:start w:val="18"/>
    </w:lvl>
  </w:abstractNum>
  <w:abstractNum w:abstractNumId="32">
    <w:nsid w:val="51EAD36B"/>
    <w:multiLevelType w:val="hybridMultilevel"/>
    <w:lvl w:ilvl="0">
      <w:lvlJc w:val="left"/>
      <w:lvlText w:val="(%1)"/>
      <w:numFmt w:val="decimal"/>
      <w:start w:val="20"/>
    </w:lvl>
  </w:abstractNum>
  <w:abstractNum w:abstractNumId="33">
    <w:nsid w:val="2D517796"/>
    <w:multiLevelType w:val="hybridMultilevel"/>
    <w:lvl w:ilvl="0">
      <w:lvlJc w:val="left"/>
      <w:lvlText w:val="%1."/>
      <w:numFmt w:val="upperLetter"/>
      <w:start w:val="1"/>
    </w:lvl>
  </w:abstractNum>
  <w:abstractNum w:abstractNumId="34">
    <w:nsid w:val="580BD78F"/>
    <w:multiLevelType w:val="hybridMultilevel"/>
    <w:lvl w:ilvl="0">
      <w:lvlJc w:val="left"/>
      <w:lvlText w:val="%1."/>
      <w:numFmt w:val="upperLetter"/>
      <w:start w:val="2"/>
    </w:lvl>
  </w:abstractNum>
  <w:abstractNum w:abstractNumId="35">
    <w:nsid w:val="153EA438"/>
    <w:multiLevelType w:val="hybridMultilevel"/>
    <w:lvl w:ilvl="0">
      <w:lvlJc w:val="left"/>
      <w:lvlText w:val="%1."/>
      <w:numFmt w:val="upperLetter"/>
      <w:start w:val="9"/>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upperLetter"/>
      <w:start w:val="35"/>
    </w:lvl>
  </w:abstractNum>
  <w:abstractNum w:abstractNumId="38">
    <w:nsid w:val="6A2342EC"/>
    <w:multiLevelType w:val="hybridMultilevel"/>
    <w:lvl w:ilvl="0">
      <w:lvlJc w:val="left"/>
      <w:lvlText w:val="%1."/>
      <w:numFmt w:val="upperLetter"/>
      <w:start w:val="61"/>
    </w:lvl>
  </w:abstractNum>
  <w:abstractNum w:abstractNumId="39">
    <w:nsid w:val="2A487CB0"/>
    <w:multiLevelType w:val="hybridMultilevel"/>
    <w:lvl w:ilvl="0">
      <w:lvlJc w:val="left"/>
      <w:lvlText w:val="(%1)"/>
      <w:numFmt w:val="decimal"/>
      <w:start w:val="22"/>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decimal"/>
      <w:start w:val="23"/>
    </w:lvl>
    <w:lvl w:ilvl="1">
      <w:lvlJc w:val="left"/>
      <w:lvlText w:val="%2)"/>
      <w:numFmt w:val="lowerLetter"/>
      <w:start w:val="1"/>
    </w:lvl>
  </w:abstractNum>
  <w:abstractNum w:abstractNumId="42">
    <w:nsid w:val="2CD89A32"/>
    <w:multiLevelType w:val="hybridMultilevel"/>
    <w:lvl w:ilvl="0">
      <w:lvlJc w:val="left"/>
      <w:lvlText w:val="%1)"/>
      <w:numFmt w:val="lowerLetter"/>
      <w:start w:val="3"/>
    </w:lvl>
  </w:abstractNum>
  <w:abstractNum w:abstractNumId="43">
    <w:nsid w:val="57E4CCAF"/>
    <w:multiLevelType w:val="hybridMultilevel"/>
    <w:lvl w:ilvl="0">
      <w:lvlJc w:val="left"/>
      <w:lvlText w:val="(%1)"/>
      <w:numFmt w:val="decimal"/>
      <w:start w:val="24"/>
    </w:lvl>
    <w:lvl w:ilvl="1">
      <w:lvlJc w:val="left"/>
      <w:lvlText w:val="%2)"/>
      <w:numFmt w:val="lowerLetter"/>
      <w:start w:val="1"/>
    </w:lvl>
  </w:abstractNum>
  <w:abstractNum w:abstractNumId="44">
    <w:nsid w:val="7A6D8D3C"/>
    <w:multiLevelType w:val="hybridMultilevel"/>
    <w:lvl w:ilvl="0">
      <w:lvlJc w:val="left"/>
      <w:lvlText w:val="%1)"/>
      <w:numFmt w:val="lowerLetter"/>
      <w:start w:val="4"/>
    </w:lvl>
  </w:abstractNum>
  <w:abstractNum w:abstractNumId="45">
    <w:nsid w:val="4B588F54"/>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2025-12-05T15:40:04Z</dcterms:created>
  <dcterms:modified xsi:type="dcterms:W3CDTF">2025-12-05T15:40:04Z</dcterms:modified>
</cp:coreProperties>
</file>