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month of October 2026 </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Commission File Number: 001-42931</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Grupo Aeroméxico, S.A.B. de C.V.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registrant)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Aeromexico Group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(Translation of registrant’s name into English) </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Avenida Paseo de la Reforma 243, 25th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Col. Cuauhtémoc, Cuauhtémoc 06500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Mexico City, Mexico </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40" w:after="283"/>
        <w:ind w:left="0" w:right="0" w:firstLine="49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240" w:after="20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19, 2026, Grupo Aeroméxico, S.A.B. de C.V. (the “Company”) issued a press release titled “Aeroméxico Reports Unaudited Third Quarter 2026 Results.” A copy of this press release is furnished with this Form 6-K as Exhibit 99.1.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previously issued press releases containing July 2026 traffic results, August 2026 traffic results and September 2026 traffic results. Copies of these press releases are furnished with this Form 6-K as exhibits 99.2, 99.3 and 99.4,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9702"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2557"/>
        <w:gridCol w:w="2557"/>
        <w:gridCol w:w="3630"/>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eromxicoreportsunauditedt.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eromxicoreportsunauditedt.htm">
              <w:r>
                <w:rPr>
                  <w:rStyle w:val="InternetLink"/>
                  <w:rFonts w:ascii="Times New Roman;serif" w:hAnsi="Times New Roman;serif"/>
                  <w:b w:val="false"/>
                  <w:color w:val="0000FF"/>
                  <w:sz w:val="20"/>
                  <w:u w:val="single"/>
                </w:rPr>
                <w:t>Press Release dated October 19, 2026, titled “Aeroméxico Reports Unaudited Third Quarter 2026 Results”</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eromxicojulytrafficreport.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eromxicojulytrafficreport.htm">
              <w:r>
                <w:rPr>
                  <w:rStyle w:val="InternetLink"/>
                  <w:rFonts w:ascii="Times New Roman;serif" w:hAnsi="Times New Roman;serif"/>
                  <w:b w:val="false"/>
                  <w:color w:val="0000FF"/>
                  <w:sz w:val="20"/>
                  <w:u w:val="single"/>
                </w:rPr>
                <w:t>Press Release dated August 3, 2026, titled “Aeroméxico July 2026 Traffic Results.”</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eromxicoaugusttrafficrepo.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eromxicoaugusttrafficrepo.htm">
              <w:r>
                <w:rPr>
                  <w:rStyle w:val="InternetLink"/>
                  <w:rFonts w:ascii="Times New Roman;serif" w:hAnsi="Times New Roman;serif"/>
                  <w:b w:val="false"/>
                  <w:color w:val="0000FF"/>
                  <w:sz w:val="20"/>
                  <w:u w:val="single"/>
                </w:rPr>
                <w:t>Press Release dated September 3, 2026, titled “Aeroméxico August 2026 Traffic Results.”</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eromxicoseptembertrafficr.htm">
              <w:r>
                <w:rPr>
                  <w:rStyle w:val="InternetLink"/>
                  <w:rFonts w:ascii="Times New Roman;serif" w:hAnsi="Times New Roman;serif"/>
                  <w:b w:val="false"/>
                  <w:color w:val="0000FF"/>
                  <w:sz w:val="20"/>
                  <w:u w:val="single"/>
                </w:rPr>
                <w:t>99.4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eromxicoseptembertrafficr.htm">
              <w:r>
                <w:rPr>
                  <w:rStyle w:val="InternetLink"/>
                  <w:rFonts w:ascii="Times New Roman;serif" w:hAnsi="Times New Roman;serif"/>
                  <w:b w:val="false"/>
                  <w:color w:val="000080"/>
                  <w:sz w:val="20"/>
                  <w:u w:val="single"/>
                </w:rPr>
                <w:t xml:space="preserve">Press Release dated </w:t>
              </w:r>
            </w:hyperlink>
            <w:hyperlink w:anchor="aeromxicoseptembertrafficr.htm">
              <w:r>
                <w:rPr>
                  <w:rStyle w:val="InternetLink"/>
                  <w:rFonts w:ascii="Times New Roman;serif" w:hAnsi="Times New Roman;serif"/>
                  <w:b w:val="false"/>
                  <w:color w:val="000080"/>
                  <w:sz w:val="20"/>
                  <w:u w:val="single"/>
                </w:rPr>
                <w:t>October</w:t>
              </w:r>
            </w:hyperlink>
            <w:hyperlink w:anchor="aeromxicoseptembertrafficr.htm">
              <w:r>
                <w:rPr>
                  <w:rStyle w:val="InternetLink"/>
                  <w:rFonts w:ascii="Times New Roman;serif" w:hAnsi="Times New Roman;serif"/>
                  <w:b w:val="false"/>
                  <w:color w:val="000080"/>
                  <w:sz w:val="20"/>
                  <w:u w:val="single"/>
                </w:rPr>
                <w:t xml:space="preserve"> </w:t>
              </w:r>
            </w:hyperlink>
            <w:hyperlink w:anchor="aeromxicoseptembertrafficr.htm">
              <w:r>
                <w:rPr>
                  <w:rStyle w:val="InternetLink"/>
                  <w:rFonts w:ascii="Times New Roman;serif" w:hAnsi="Times New Roman;serif"/>
                  <w:b w:val="false"/>
                  <w:color w:val="000080"/>
                  <w:sz w:val="20"/>
                  <w:u w:val="single"/>
                </w:rPr>
                <w:t>6</w:t>
              </w:r>
            </w:hyperlink>
            <w:hyperlink w:anchor="aeromxicoseptembertrafficr.htm">
              <w:r>
                <w:rPr>
                  <w:rStyle w:val="InternetLink"/>
                  <w:rFonts w:ascii="Times New Roman;serif" w:hAnsi="Times New Roman;serif"/>
                  <w:b w:val="false"/>
                  <w:color w:val="000080"/>
                  <w:sz w:val="20"/>
                  <w:u w:val="single"/>
                </w:rPr>
                <w:t xml:space="preserve">, 2026, titled “Aeroméxico </w:t>
              </w:r>
            </w:hyperlink>
            <w:hyperlink w:anchor="aeromxicoseptembertrafficr.htm">
              <w:r>
                <w:rPr>
                  <w:rStyle w:val="InternetLink"/>
                  <w:rFonts w:ascii="Times New Roman;serif" w:hAnsi="Times New Roman;serif"/>
                  <w:b w:val="false"/>
                  <w:color w:val="000080"/>
                  <w:sz w:val="20"/>
                  <w:u w:val="single"/>
                </w:rPr>
                <w:t>September</w:t>
              </w:r>
            </w:hyperlink>
            <w:hyperlink w:anchor="aeromxicoseptembertrafficr.htm">
              <w:r>
                <w:rPr>
                  <w:rStyle w:val="InternetLink"/>
                  <w:rFonts w:ascii="Times New Roman;serif" w:hAnsi="Times New Roman;serif"/>
                  <w:b w:val="false"/>
                  <w:color w:val="000080"/>
                  <w:sz w:val="20"/>
                  <w:u w:val="single"/>
                </w:rPr>
                <w:t xml:space="preserve"> 2026 Traffic Results.”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ind w:left="0" w:right="0" w:firstLine="504"/>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654" w:type="dxa"/>
        <w:jc w:val="left"/>
        <w:tblInd w:w="0" w:type="dxa"/>
        <w:tblLayout w:type="fixed"/>
        <w:tblCellMar>
          <w:top w:w="28" w:type="dxa"/>
          <w:left w:w="28" w:type="dxa"/>
          <w:bottom w:w="28" w:type="dxa"/>
          <w:right w:w="28" w:type="dxa"/>
        </w:tblCellMar>
      </w:tblPr>
      <w:tblGrid>
        <w:gridCol w:w="726"/>
        <w:gridCol w:w="640"/>
        <w:gridCol w:w="643"/>
        <w:gridCol w:w="470"/>
        <w:gridCol w:w="470"/>
        <w:gridCol w:w="470"/>
        <w:gridCol w:w="649"/>
        <w:gridCol w:w="649"/>
        <w:gridCol w:w="93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Grupo Aeroméxico, S.A.B. de C.V.</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Ernesto Gómez Pombo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Ernesto Gómez Pombo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2962275" cy="5429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962275" cy="542925"/>
                    </a:xfrm>
                    <a:prstGeom prst="rect">
                      <a:avLst/>
                    </a:prstGeom>
                  </pic:spPr>
                </pic:pic>
              </a:graphicData>
            </a:graphic>
          </wp:inline>
        </w:drawing>
      </w:r>
    </w:p>
    <w:p>
      <w:pPr>
        <w:pStyle w:val="TextBody"/>
        <w:bidi w:val="0"/>
        <w:spacing w:lineRule="auto" w:line="288" w:before="0" w:after="0"/>
        <w:jc w:val="left"/>
        <w:rPr/>
      </w:pPr>
      <w:r>
        <w:rPr>
          <w:rFonts w:ascii="Arial;sans-serif" w:hAnsi="Arial;sans-serif"/>
          <w:b/>
          <w:color w:val="000000"/>
          <w:sz w:val="22"/>
        </w:rPr>
        <w:t>CONTACT:</w:t>
      </w:r>
      <w:r>
        <w:rPr>
          <w:color w:val="000000"/>
        </w:rPr>
        <w:t xml:space="preserve"> </w:t>
      </w:r>
      <w:r>
        <w:rPr>
          <w:rFonts w:ascii="Arial;sans-serif" w:hAnsi="Arial;sans-serif"/>
          <w:b w:val="false"/>
          <w:color w:val="000000"/>
          <w:sz w:val="22"/>
        </w:rPr>
        <w:t xml:space="preserve">Investor Relations         </w:t>
      </w:r>
      <w:r>
        <w:rPr>
          <w:rFonts w:ascii="Arial;sans-serif" w:hAnsi="Arial;sans-serif"/>
          <w:b w:val="false"/>
          <w:color w:val="0000FF"/>
          <w:sz w:val="22"/>
        </w:rPr>
        <w:t>aminvestorrelations@aeromexico.com</w:t>
      </w:r>
    </w:p>
    <w:p>
      <w:pPr>
        <w:pStyle w:val="TextBody"/>
        <w:bidi w:val="0"/>
        <w:spacing w:lineRule="auto" w:line="288" w:before="0" w:after="0"/>
        <w:jc w:val="left"/>
        <w:rPr/>
      </w:pPr>
      <w:r>
        <w:rPr>
          <w:rFonts w:ascii="Arial;sans-serif" w:hAnsi="Arial;sans-serif"/>
          <w:b w:val="false"/>
          <w:color w:val="000000"/>
          <w:sz w:val="22"/>
        </w:rPr>
        <w:t xml:space="preserve">Corporate Communications </w:t>
      </w:r>
      <w:r>
        <w:rPr>
          <w:rFonts w:ascii="Arial;sans-serif" w:hAnsi="Arial;sans-serif"/>
          <w:b w:val="false"/>
          <w:color w:val="0000FF"/>
          <w:sz w:val="22"/>
        </w:rPr>
        <w:t>amcomunicacioncorporativa@aeromexico.com</w:t>
      </w:r>
    </w:p>
    <w:p>
      <w:pPr>
        <w:pStyle w:val="TextBody"/>
        <w:bidi w:val="0"/>
        <w:spacing w:before="0" w:after="160"/>
        <w:jc w:val="center"/>
        <w:rPr/>
      </w:pPr>
      <w:r>
        <w:rPr/>
      </w:r>
    </w:p>
    <w:p>
      <w:pPr>
        <w:pStyle w:val="TextBody"/>
        <w:bidi w:val="0"/>
        <w:spacing w:lineRule="auto" w:line="288" w:before="0" w:after="160"/>
        <w:jc w:val="center"/>
        <w:rPr>
          <w:rFonts w:ascii="Arial;sans-serif" w:hAnsi="Arial;sans-serif"/>
          <w:b/>
          <w:color w:val="000000"/>
          <w:sz w:val="32"/>
        </w:rPr>
      </w:pPr>
      <w:r>
        <w:rPr>
          <w:rFonts w:ascii="Arial;sans-serif" w:hAnsi="Arial;sans-serif"/>
          <w:b/>
          <w:color w:val="000000"/>
          <w:sz w:val="32"/>
        </w:rPr>
        <w:t xml:space="preserve">Aeroméxico Reports Unaudited </w:t>
      </w:r>
    </w:p>
    <w:p>
      <w:pPr>
        <w:pStyle w:val="TextBody"/>
        <w:bidi w:val="0"/>
        <w:spacing w:lineRule="auto" w:line="288" w:before="0" w:after="160"/>
        <w:jc w:val="center"/>
        <w:rPr>
          <w:rFonts w:ascii="Arial;sans-serif" w:hAnsi="Arial;sans-serif"/>
          <w:b/>
          <w:color w:val="000000"/>
          <w:sz w:val="32"/>
        </w:rPr>
      </w:pPr>
      <w:r>
        <w:rPr>
          <w:rFonts w:ascii="Arial;sans-serif" w:hAnsi="Arial;sans-serif"/>
          <w:b/>
          <w:color w:val="000000"/>
          <w:sz w:val="32"/>
        </w:rPr>
        <w:t>Third Quarter 2026 Results</w:t>
      </w:r>
    </w:p>
    <w:p>
      <w:pPr>
        <w:pStyle w:val="TextBody"/>
        <w:bidi w:val="0"/>
        <w:spacing w:lineRule="auto" w:line="288" w:before="0" w:after="0"/>
        <w:ind w:left="0" w:right="0" w:hanging="284"/>
        <w:jc w:val="left"/>
        <w:rPr/>
      </w:pPr>
      <w:r>
        <w:rPr>
          <w:color w:val="FA0073"/>
        </w:rPr>
        <w:t>•</w:t>
      </w:r>
      <w:r>
        <w:rPr>
          <w:rFonts w:ascii="Arial;sans-serif" w:hAnsi="Arial;sans-serif"/>
          <w:b w:val="false"/>
          <w:i/>
          <w:color w:val="000000"/>
          <w:sz w:val="22"/>
        </w:rPr>
        <w:t>Record Quarterly Total Revenue of $1.6 billion</w:t>
      </w:r>
    </w:p>
    <w:p>
      <w:pPr>
        <w:pStyle w:val="TextBody"/>
        <w:bidi w:val="0"/>
        <w:spacing w:lineRule="auto" w:line="288" w:before="0" w:after="0"/>
        <w:ind w:left="0" w:right="0" w:hanging="284"/>
        <w:jc w:val="left"/>
        <w:rPr/>
      </w:pPr>
      <w:r>
        <w:rPr>
          <w:color w:val="FA0073"/>
        </w:rPr>
        <w:t>•</w:t>
      </w:r>
      <w:r>
        <w:rPr>
          <w:rFonts w:ascii="Arial;sans-serif" w:hAnsi="Arial;sans-serif"/>
          <w:b w:val="false"/>
          <w:i/>
          <w:color w:val="000000"/>
          <w:sz w:val="22"/>
        </w:rPr>
        <w:t>Adjusted EBITDAR</w:t>
      </w:r>
      <w:r>
        <w:rPr>
          <w:rFonts w:ascii="Arial;sans-serif" w:hAnsi="Arial;sans-serif"/>
          <w:b/>
          <w:color w:val="000000"/>
          <w:sz w:val="13"/>
        </w:rPr>
        <w:t>(1)</w:t>
      </w:r>
      <w:r>
        <w:rPr>
          <w:color w:val="000000"/>
        </w:rPr>
        <w:t xml:space="preserve"> </w:t>
      </w:r>
      <w:r>
        <w:rPr>
          <w:rFonts w:ascii="Arial;sans-serif" w:hAnsi="Arial;sans-serif"/>
          <w:b w:val="false"/>
          <w:i/>
          <w:color w:val="000000"/>
          <w:sz w:val="22"/>
        </w:rPr>
        <w:t xml:space="preserve">Margin of 24% </w:t>
      </w:r>
    </w:p>
    <w:p>
      <w:pPr>
        <w:pStyle w:val="TextBody"/>
        <w:bidi w:val="0"/>
        <w:spacing w:lineRule="auto" w:line="288" w:before="0" w:after="0"/>
        <w:ind w:left="0" w:right="0" w:hanging="284"/>
        <w:jc w:val="left"/>
        <w:rPr/>
      </w:pPr>
      <w:r>
        <w:rPr>
          <w:color w:val="FA0073"/>
        </w:rPr>
        <w:t>•</w:t>
      </w:r>
      <w:r>
        <w:rPr>
          <w:rFonts w:ascii="Arial;sans-serif" w:hAnsi="Arial;sans-serif"/>
          <w:b w:val="false"/>
          <w:i/>
          <w:color w:val="000000"/>
          <w:sz w:val="22"/>
        </w:rPr>
        <w:t xml:space="preserve">Operating Margin of 12% </w:t>
      </w:r>
    </w:p>
    <w:p>
      <w:pPr>
        <w:pStyle w:val="TextBody"/>
        <w:bidi w:val="0"/>
        <w:spacing w:lineRule="auto" w:line="288" w:before="0" w:after="0"/>
        <w:ind w:left="0" w:right="0" w:hanging="284"/>
        <w:jc w:val="left"/>
        <w:rPr/>
      </w:pPr>
      <w:r>
        <w:rPr>
          <w:color w:val="FA0073"/>
        </w:rPr>
        <w:t>•</w:t>
      </w:r>
      <w:r>
        <w:rPr>
          <w:rFonts w:ascii="Arial;sans-serif" w:hAnsi="Arial;sans-serif"/>
          <w:b w:val="false"/>
          <w:i/>
          <w:color w:val="000000"/>
          <w:sz w:val="22"/>
        </w:rPr>
        <w:t>Liquidity</w:t>
      </w:r>
      <w:r>
        <w:rPr>
          <w:rFonts w:ascii="Arial;sans-serif" w:hAnsi="Arial;sans-serif"/>
          <w:b w:val="false"/>
          <w:i/>
          <w:color w:val="000000"/>
          <w:sz w:val="14"/>
        </w:rPr>
        <w:t>(2)</w:t>
      </w:r>
      <w:r>
        <w:rPr>
          <w:color w:val="000000"/>
        </w:rPr>
        <w:t xml:space="preserve"> </w:t>
      </w:r>
      <w:r>
        <w:rPr>
          <w:rFonts w:ascii="Arial;sans-serif" w:hAnsi="Arial;sans-serif"/>
          <w:b w:val="false"/>
          <w:i/>
          <w:color w:val="000000"/>
          <w:sz w:val="22"/>
        </w:rPr>
        <w:t>to LTM Revenue ratio at 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Mexico City, Mexico, October 19, 2026</w:t>
      </w:r>
      <w:r>
        <w:rPr>
          <w:color w:val="000000"/>
        </w:rPr>
        <w:t xml:space="preserve"> </w:t>
      </w:r>
      <w:r>
        <w:rPr>
          <w:rFonts w:ascii="Arial;sans-serif" w:hAnsi="Arial;sans-serif"/>
          <w:b w:val="false"/>
          <w:color w:val="000000"/>
          <w:sz w:val="20"/>
        </w:rPr>
        <w:t xml:space="preserve">- Grupo Aeroméxico S.A.B. de C.V. (NYSE: AERO &amp; BMV: AERO, “Aeroméxico” or the “Company”) today reported unaudited consolidated financial results for the three months ended September 30, 2026 (“3Q26”). These results are based on information available to us as of the date of this earnings release and are not a comprehensive statement of our financial results for the period presented. The Company has used the U.S. dollar, its functional currency, as the presentation currency for its consolidated financial statements. All figures are expressed in millions of U.S. dollars unless otherwise indicated.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Andrés Conesa, Chief Executive Officer</w:t>
      </w:r>
      <w:r>
        <w:rPr>
          <w:color w:val="000000"/>
        </w:rPr>
        <w:t xml:space="preserve"> </w:t>
      </w:r>
      <w:r>
        <w:rPr>
          <w:rFonts w:ascii="Arial;sans-serif" w:hAnsi="Arial;sans-serif"/>
          <w:b w:val="false"/>
          <w:color w:val="000000"/>
          <w:sz w:val="20"/>
        </w:rPr>
        <w:t>stated: “</w:t>
      </w:r>
      <w:r>
        <w:rPr>
          <w:rFonts w:ascii="Arial;sans-serif" w:hAnsi="Arial;sans-serif"/>
          <w:b w:val="false"/>
          <w:i/>
          <w:color w:val="000000"/>
          <w:sz w:val="20"/>
        </w:rPr>
        <w:t>Aeroméxico delivered another strong quarter, with record revenue and a double-digit operating margin of 12%. Demand remained healthy, driven primarily by strong international markets, premium revenue growth, and continued momentum in our loyalty program. Despite jet fuel prices reaching historic highs during the quarter, targeted revenue initiatives, disciplined cost management, and moderated capacity deployment enabled us to offset the impact of higher fuel costs. Looking ahead, demand trends remain constructive, and we expect fourth quarter revenue to grow by approximately 15% year over year. As we resume growth with discipline, we expect to unlock further operating leverage and continue enhancing profitability.</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shd w:fill="FFFFFF" w:val="clear"/>
        </w:rPr>
      </w:pPr>
      <w:r>
        <w:rPr>
          <w:rFonts w:ascii="Arial;sans-serif" w:hAnsi="Arial;sans-serif"/>
          <w:b/>
          <w:color w:val="000000"/>
          <w:sz w:val="22"/>
          <w:shd w:fill="FFFFFF" w:val="clear"/>
        </w:rPr>
        <w:t>OPERATING &amp; FINANCIAL HIGHLIGHTS 3Q26</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Capacity,</w:t>
      </w:r>
      <w:r>
        <w:rPr>
          <w:color w:val="000000"/>
        </w:rPr>
        <w:t xml:space="preserve"> </w:t>
      </w:r>
      <w:r>
        <w:rPr>
          <w:rFonts w:ascii="Arial;sans-serif" w:hAnsi="Arial;sans-serif"/>
          <w:b w:val="false"/>
          <w:color w:val="000000"/>
          <w:sz w:val="20"/>
        </w:rPr>
        <w:t xml:space="preserve">measured in available seat miles (ASMs), increased by 1.3% year-over-year. </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Total revenue</w:t>
      </w:r>
      <w:r>
        <w:rPr>
          <w:color w:val="000000"/>
        </w:rPr>
        <w:t xml:space="preserve"> </w:t>
      </w:r>
      <w:r>
        <w:rPr>
          <w:rFonts w:ascii="Arial;sans-serif" w:hAnsi="Arial;sans-serif"/>
          <w:b w:val="false"/>
          <w:color w:val="000000"/>
          <w:sz w:val="20"/>
        </w:rPr>
        <w:t xml:space="preserve">reached $1.6 billion; a 13.6% increase compared to the same period of 2025. </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 xml:space="preserve">Total fuel expense </w:t>
      </w:r>
      <w:r>
        <w:rPr>
          <w:rFonts w:ascii="Arial;sans-serif" w:hAnsi="Arial;sans-serif"/>
          <w:b w:val="false"/>
          <w:color w:val="000000"/>
          <w:sz w:val="20"/>
        </w:rPr>
        <w:t>amounted to $469.0 million, a 57.6% year-over-year increase, equivalent to an increase of $171.5 million.</w:t>
      </w:r>
      <w:r>
        <w:rPr>
          <w:color w:val="000000"/>
        </w:rPr>
        <w:t xml:space="preserve"> </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Adjusted EBITDAR</w:t>
      </w: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totaled $389.2 million, with a 24.0% margin. </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Operating income</w:t>
      </w:r>
      <w:r>
        <w:rPr>
          <w:color w:val="000000"/>
        </w:rPr>
        <w:t xml:space="preserve"> </w:t>
      </w:r>
      <w:r>
        <w:rPr>
          <w:rFonts w:ascii="Arial;sans-serif" w:hAnsi="Arial;sans-serif"/>
          <w:b w:val="false"/>
          <w:color w:val="000000"/>
          <w:sz w:val="20"/>
        </w:rPr>
        <w:t>totaled $189.6 million, with an 11.7% margin.</w:t>
      </w:r>
    </w:p>
    <w:p>
      <w:pPr>
        <w:pStyle w:val="TextBody"/>
        <w:bidi w:val="0"/>
        <w:spacing w:lineRule="auto" w:line="288" w:before="160" w:after="160"/>
        <w:ind w:left="0" w:right="0" w:hanging="357"/>
        <w:jc w:val="both"/>
        <w:rPr/>
      </w:pPr>
      <w:r>
        <w:rPr>
          <w:color w:val="FA0073"/>
        </w:rPr>
        <w:t>•</w:t>
      </w:r>
      <w:r>
        <w:rPr>
          <w:rFonts w:ascii="Arial;sans-serif" w:hAnsi="Arial;sans-serif"/>
          <w:b w:val="false"/>
          <w:color w:val="000000"/>
          <w:sz w:val="20"/>
        </w:rPr>
        <w:t xml:space="preserve">Total </w:t>
      </w:r>
      <w:r>
        <w:rPr>
          <w:rFonts w:ascii="Arial;sans-serif" w:hAnsi="Arial;sans-serif"/>
          <w:b/>
          <w:color w:val="000000"/>
          <w:sz w:val="20"/>
        </w:rPr>
        <w:t>adjusted net debt to EBITDAR</w:t>
      </w: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ended the quarter at 2.1x. </w:t>
      </w:r>
    </w:p>
    <w:p>
      <w:pPr>
        <w:pStyle w:val="TextBody"/>
        <w:bidi w:val="0"/>
        <w:spacing w:lineRule="auto" w:line="288" w:before="160" w:after="160"/>
        <w:ind w:left="0" w:right="0" w:hanging="357"/>
        <w:jc w:val="both"/>
        <w:rPr/>
      </w:pPr>
      <w:r>
        <w:rPr>
          <w:color w:val="FA0073"/>
        </w:rPr>
        <w:t>•</w:t>
      </w:r>
      <w:r>
        <w:rPr>
          <w:rFonts w:ascii="Arial;sans-serif" w:hAnsi="Arial;sans-serif"/>
          <w:b/>
          <w:color w:val="000000"/>
          <w:sz w:val="20"/>
        </w:rPr>
        <w:t>Liquidity</w:t>
      </w:r>
      <w:r>
        <w:rPr>
          <w:rFonts w:ascii="Arial;sans-serif" w:hAnsi="Arial;sans-serif"/>
          <w:b/>
          <w:color w:val="000000"/>
          <w:sz w:val="13"/>
        </w:rPr>
        <w:t>(2)</w:t>
      </w:r>
      <w:r>
        <w:rPr>
          <w:color w:val="000000"/>
        </w:rPr>
        <w:t xml:space="preserve"> </w:t>
      </w:r>
      <w:r>
        <w:rPr>
          <w:rFonts w:ascii="Arial;sans-serif" w:hAnsi="Arial;sans-serif"/>
          <w:b w:val="false"/>
          <w:color w:val="000000"/>
          <w:sz w:val="20"/>
        </w:rPr>
        <w:t xml:space="preserve">totaled $1.2 billion, equivalent to 20.7% of last-twelve-month revenues. </w:t>
      </w:r>
    </w:p>
    <w:p>
      <w:pPr>
        <w:pStyle w:val="TextBody"/>
        <w:bidi w:val="0"/>
        <w:spacing w:before="160" w:after="160"/>
        <w:ind w:left="0" w:right="0" w:firstLine="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476500" cy="552450"/>
                    </a:xfrm>
                    <a:prstGeom prst="rect">
                      <a:avLst/>
                    </a:prstGeom>
                  </pic:spPr>
                </pic:pic>
              </a:graphicData>
            </a:graphic>
          </wp:inline>
        </w:drawing>
      </w:r>
    </w:p>
    <w:p>
      <w:pPr>
        <w:pStyle w:val="TextBody"/>
        <w:bidi w:val="0"/>
        <w:spacing w:before="160" w:after="160"/>
        <w:ind w:left="0" w:right="0" w:firstLine="3"/>
        <w:jc w:val="both"/>
        <w:rPr/>
      </w:pPr>
      <w:r>
        <w:rPr/>
      </w:r>
    </w:p>
    <w:p>
      <w:pPr>
        <w:pStyle w:val="TextBody"/>
        <w:bidi w:val="0"/>
        <w:spacing w:lineRule="auto" w:line="340" w:before="160" w:after="160"/>
        <w:ind w:left="0" w:right="0" w:firstLine="3"/>
        <w:jc w:val="both"/>
        <w:rPr>
          <w:rFonts w:ascii="Arial;sans-serif" w:hAnsi="Arial;sans-serif"/>
          <w:b/>
          <w:color w:val="000000"/>
          <w:sz w:val="22"/>
        </w:rPr>
      </w:pPr>
      <w:r>
        <w:rPr>
          <w:rFonts w:ascii="Arial;sans-serif" w:hAnsi="Arial;sans-serif"/>
          <w:b/>
          <w:color w:val="000000"/>
          <w:sz w:val="22"/>
        </w:rPr>
        <w:t>4Q26 &amp; FULL YEAR OUTLOOK</w:t>
      </w:r>
    </w:p>
    <w:tbl>
      <w:tblPr>
        <w:tblW w:w="5713" w:type="dxa"/>
        <w:jc w:val="left"/>
        <w:tblInd w:w="0" w:type="dxa"/>
        <w:tblLayout w:type="fixed"/>
        <w:tblCellMar>
          <w:top w:w="28" w:type="dxa"/>
          <w:left w:w="28" w:type="dxa"/>
          <w:bottom w:w="28" w:type="dxa"/>
          <w:right w:w="28" w:type="dxa"/>
        </w:tblCellMar>
      </w:tblPr>
      <w:tblGrid>
        <w:gridCol w:w="912"/>
        <w:gridCol w:w="802"/>
        <w:gridCol w:w="805"/>
        <w:gridCol w:w="524"/>
        <w:gridCol w:w="524"/>
        <w:gridCol w:w="526"/>
        <w:gridCol w:w="474"/>
        <w:gridCol w:w="474"/>
        <w:gridCol w:w="672"/>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Indicator</w:t>
            </w:r>
          </w:p>
        </w:tc>
        <w:tc>
          <w:tcPr>
            <w:tcW w:w="1574"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4Q26 Guidance</w:t>
            </w:r>
          </w:p>
        </w:tc>
        <w:tc>
          <w:tcPr>
            <w:tcW w:w="1620"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FY26 Guidance</w:t>
            </w:r>
          </w:p>
        </w:tc>
      </w:tr>
      <w:tr>
        <w:trPr/>
        <w:tc>
          <w:tcPr>
            <w:tcW w:w="2519"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capacity (ASMs) YoY (%)</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+7.0% to +8.0%</w:t>
            </w:r>
          </w:p>
        </w:tc>
        <w:tc>
          <w:tcPr>
            <w:tcW w:w="16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+2.0% to +3.0%</w:t>
            </w:r>
          </w:p>
        </w:tc>
      </w:tr>
      <w:tr>
        <w:trPr/>
        <w:tc>
          <w:tcPr>
            <w:tcW w:w="2519"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 YoY (%)</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+14.0% to +16.0%</w:t>
            </w:r>
          </w:p>
        </w:tc>
        <w:tc>
          <w:tcPr>
            <w:tcW w:w="16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+13.5% to +14.5%</w:t>
            </w:r>
          </w:p>
        </w:tc>
      </w:tr>
      <w:tr>
        <w:trPr/>
        <w:tc>
          <w:tcPr>
            <w:tcW w:w="2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EBITDAR Margin</w:t>
            </w:r>
            <w:r>
              <w:rPr>
                <w:rFonts w:ascii="Arial;sans-serif" w:hAnsi="Arial;sans-serif"/>
                <w:b/>
                <w:color w:val="000000"/>
                <w:sz w:val="10"/>
              </w:rPr>
              <w:t>(1)</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19.5% to 21.5%</w:t>
            </w:r>
          </w:p>
        </w:tc>
        <w:tc>
          <w:tcPr>
            <w:tcW w:w="16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21.5% to 22.5%</w:t>
            </w:r>
          </w:p>
        </w:tc>
      </w:tr>
      <w:tr>
        <w:trPr/>
        <w:tc>
          <w:tcPr>
            <w:tcW w:w="2519" w:type="dxa"/>
            <w:gridSpan w:val="3"/>
            <w:tcBorders>
              <w:top w:val="single" w:sz="8" w:space="0" w:color="000000"/>
              <w:left w:val="single" w:sz="8" w:space="0" w:color="000000"/>
              <w:bottom w:val="single" w:sz="8" w:space="0" w:color="000000"/>
            </w:tcBorders>
            <w:tcMar>
              <w:top w:w="30" w:type="dxa"/>
              <w:left w:w="38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Margin</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7.5% to 9.5%</w:t>
            </w:r>
          </w:p>
        </w:tc>
        <w:tc>
          <w:tcPr>
            <w:tcW w:w="16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8.5% to 9.5%</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updated outlook for the remainder of the year reflects the October 16, 2026 fuel forward curve and continued cost pressures, while maintaining the assumption of a healthy demand environment. Revenue generation in the fourth quarter is expected to remain healthy, supported by sustained demand trends and disciplined commercial execution. Higher utilization of our existing fleet is expected to support planned capacity growth, strengthen operating leverage, and keep cost per ASM excluding fuel (CASM-Ex) broadly stable year-over-year in 4Q26.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guidance reflects an average all-in fuel price of approximately USD $4.5 per gallon for the fourth quarter. It also assumes exchange rate of $18.0 Mexican pesos per U.S. dollar for the fourth quarter.</w:t>
      </w:r>
    </w:p>
    <w:p>
      <w:pPr>
        <w:pStyle w:val="TextBody"/>
        <w:bidi w:val="0"/>
        <w:spacing w:before="0" w:after="0"/>
        <w:jc w:val="both"/>
        <w:rPr/>
      </w:pPr>
      <w:r>
        <w:rPr/>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KEY FINANCIAL AND OPERATING HIGHLIGHTS FOR THE THIRD QUARTER</w:t>
      </w:r>
    </w:p>
    <w:tbl>
      <w:tblPr>
        <w:tblW w:w="9074" w:type="dxa"/>
        <w:jc w:val="left"/>
        <w:tblInd w:w="0" w:type="dxa"/>
        <w:tblLayout w:type="fixed"/>
        <w:tblCellMar>
          <w:top w:w="28" w:type="dxa"/>
          <w:left w:w="28" w:type="dxa"/>
          <w:bottom w:w="28" w:type="dxa"/>
          <w:right w:w="28" w:type="dxa"/>
        </w:tblCellMar>
      </w:tblPr>
      <w:tblGrid>
        <w:gridCol w:w="1199"/>
        <w:gridCol w:w="1057"/>
        <w:gridCol w:w="1058"/>
        <w:gridCol w:w="320"/>
        <w:gridCol w:w="320"/>
        <w:gridCol w:w="320"/>
        <w:gridCol w:w="320"/>
        <w:gridCol w:w="320"/>
        <w:gridCol w:w="320"/>
        <w:gridCol w:w="320"/>
        <w:gridCol w:w="320"/>
        <w:gridCol w:w="320"/>
        <w:gridCol w:w="306"/>
        <w:gridCol w:w="306"/>
        <w:gridCol w:w="306"/>
        <w:gridCol w:w="306"/>
        <w:gridCol w:w="306"/>
        <w:gridCol w:w="306"/>
        <w:gridCol w:w="306"/>
        <w:gridCol w:w="306"/>
        <w:gridCol w:w="432"/>
      </w:tblGrid>
      <w:tr>
        <w:trPr/>
        <w:tc>
          <w:tcPr>
            <w:tcW w:w="119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right w:val="single" w:sz="8" w:space="0" w:color="000000"/>
            </w:tcBorders>
            <w:shd w:fill="020C41"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Three Months Ended September 30</w:t>
            </w:r>
          </w:p>
        </w:tc>
        <w:tc>
          <w:tcPr>
            <w:tcW w:w="2880" w:type="dxa"/>
            <w:gridSpan w:val="9"/>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Nine Months Ended September 30 </w:t>
            </w:r>
          </w:p>
        </w:tc>
      </w:tr>
      <w:tr>
        <w:trPr/>
        <w:tc>
          <w:tcPr>
            <w:tcW w:w="3314"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Key Financial KPIs</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 (USD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4,440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3,923</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EBITDAR</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(USD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1,171</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EBITDAR margin</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of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(7.6)p.p.</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income (loss) (USD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(36.1)%</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margin (% of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(6.9)p.p.</w:t>
            </w:r>
          </w:p>
        </w:tc>
      </w:tr>
      <w:tr>
        <w:trPr/>
        <w:tc>
          <w:tcPr>
            <w:tcW w:w="3314"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Key Operating Indicators</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ASMs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9,395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9,277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27,248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27,054</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Passengers ('000)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6,362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17,966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18,419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w:t>
            </w:r>
          </w:p>
        </w:tc>
      </w:tr>
      <w:tr>
        <w:trPr/>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excluding fuel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r>
      <w:tr>
        <w:trPr/>
        <w:tc>
          <w:tcPr>
            <w:tcW w:w="3314"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Foreign Exchange*</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3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17.22</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18.67</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17.40</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r>
      <w:tr>
        <w:trPr/>
        <w:tc>
          <w:tcPr>
            <w:tcW w:w="8030" w:type="dxa"/>
            <w:gridSpan w:val="18"/>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*Source: Company with information from Banxico. Figures may not sum to total due to rounding.</w:t>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ind w:left="0" w:right="0" w:hanging="142"/>
        <w:jc w:val="both"/>
        <w:rPr/>
      </w:pPr>
      <w:r>
        <w:rPr/>
      </w:r>
    </w:p>
    <w:p>
      <w:pPr>
        <w:pStyle w:val="TextBody"/>
        <w:bidi w:val="0"/>
        <w:spacing w:before="0" w:after="160"/>
        <w:ind w:left="0" w:right="0" w:hanging="142"/>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14960"/>
                <wp:effectExtent l="0" t="0" r="0" b="0"/>
                <wp:wrapNone/>
                <wp:docPr id="8" name="Frame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476500" cy="552450"/>
                    </a:xfrm>
                    <a:prstGeom prst="rect">
                      <a:avLst/>
                    </a:prstGeom>
                  </pic:spPr>
                </pic:pic>
              </a:graphicData>
            </a:graphic>
          </wp:inline>
        </w:drawing>
      </w:r>
    </w:p>
    <w:p>
      <w:pPr>
        <w:pStyle w:val="TextBody"/>
        <w:bidi w:val="0"/>
        <w:spacing w:lineRule="auto" w:line="288" w:before="0" w:after="160"/>
        <w:ind w:left="0" w:right="0" w:hanging="142"/>
        <w:jc w:val="both"/>
        <w:rPr>
          <w:rFonts w:ascii="Arial;sans-serif" w:hAnsi="Arial;sans-serif"/>
          <w:b/>
          <w:color w:val="000000"/>
          <w:sz w:val="22"/>
          <w:shd w:fill="FFFFFF" w:val="clear"/>
        </w:rPr>
      </w:pPr>
      <w:r>
        <w:rPr>
          <w:rFonts w:ascii="Arial;sans-serif" w:hAnsi="Arial;sans-serif"/>
          <w:b/>
          <w:color w:val="000000"/>
          <w:sz w:val="22"/>
          <w:shd w:fill="FFFFFF" w:val="clear"/>
        </w:rPr>
        <w:t>THIRD QUARTER 2026 RESULTS</w:t>
      </w:r>
    </w:p>
    <w:p>
      <w:pPr>
        <w:pStyle w:val="TextBody"/>
        <w:bidi w:val="0"/>
        <w:spacing w:lineRule="auto" w:line="288" w:before="0" w:after="160"/>
        <w:ind w:left="0" w:right="0" w:hanging="142"/>
        <w:jc w:val="both"/>
        <w:rPr>
          <w:rFonts w:ascii="Arial;sans-serif" w:hAnsi="Arial;sans-serif"/>
          <w:b/>
          <w:color w:val="000000"/>
          <w:sz w:val="22"/>
          <w:shd w:fill="FFFFFF" w:val="clear"/>
        </w:rPr>
      </w:pPr>
      <w:r>
        <w:rPr>
          <w:rFonts w:ascii="Arial;sans-serif" w:hAnsi="Arial;sans-serif"/>
          <w:b/>
          <w:color w:val="000000"/>
          <w:sz w:val="22"/>
          <w:shd w:fill="FFFFFF" w:val="clear"/>
        </w:rPr>
        <w:t>Income Statement Discussion</w:t>
      </w:r>
    </w:p>
    <w:p>
      <w:pPr>
        <w:pStyle w:val="TextBody"/>
        <w:bidi w:val="0"/>
        <w:spacing w:lineRule="auto" w:line="288" w:before="0" w:after="0"/>
        <w:jc w:val="both"/>
        <w:rPr>
          <w:rFonts w:ascii="Arial;sans-serif" w:hAnsi="Arial;sans-serif"/>
          <w:b/>
          <w:color w:val="000000"/>
          <w:sz w:val="22"/>
          <w:shd w:fill="FFFFFF" w:val="clear"/>
        </w:rPr>
      </w:pPr>
      <w:r>
        <w:rPr>
          <w:rFonts w:ascii="Arial;sans-serif" w:hAnsi="Arial;sans-serif"/>
          <w:b/>
          <w:color w:val="000000"/>
          <w:sz w:val="22"/>
          <w:shd w:fill="FFFFFF" w:val="clear"/>
        </w:rPr>
        <w:t>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 xml:space="preserve">Total revenue </w:t>
      </w:r>
      <w:r>
        <w:rPr>
          <w:rFonts w:ascii="Arial;sans-serif" w:hAnsi="Arial;sans-serif"/>
          <w:b w:val="false"/>
          <w:color w:val="000000"/>
          <w:sz w:val="20"/>
          <w:shd w:fill="FFFFFF" w:val="clear"/>
        </w:rPr>
        <w:t xml:space="preserve">for the third quarter of 2026 reached $1.6 billion, a 13.6% year-over-year increase, setting a quarterly record for the Company. Revenue growth was primarily driven by higher passenger revenue, particularly across international markets, as the Company implemented targeted pricing actions to mitigate the impact of higher fuel costs. This performance reflects the Company’s ability to pass-through the impact of elevated fuel prices, supported by disciplined network deployment, and complementary revenues, including loyalty and cargo.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third quarter of 2026, Aeroméxico updated its loyalty program breakage — the first such alignment since 2018— to better reflect current member activity and long-term program trends. This update resulted in the recognition of $48.7 million in revenue for the period alongside an adjustment to our deferred liability. More importantly, this updated approach establishes the baseline that will drive sustained, positive growth in our annual loyalty revenue moving forward.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Our </w:t>
      </w:r>
      <w:r>
        <w:rPr>
          <w:rFonts w:ascii="Arial;sans-serif" w:hAnsi="Arial;sans-serif"/>
          <w:b/>
          <w:color w:val="000000"/>
          <w:sz w:val="20"/>
        </w:rPr>
        <w:t>premium revenue</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mix reached 42% of passenger-related revenue, 1 p.p. above 3Q25, supported by continued upsell of higher-yield products and ancillary services. The Company’s fare segmentation and premium cabin cross-sell initiatives continue to broaden customer choice while enhancing the strength and resilience of our revenue base. Cargo revenues grew </w:t>
      </w:r>
      <w:r>
        <w:rPr>
          <w:rFonts w:ascii="Arial;sans-serif" w:hAnsi="Arial;sans-serif"/>
          <w:b w:val="false"/>
          <w:color w:val="000000"/>
          <w:sz w:val="20"/>
          <w:shd w:fill="FFFFFF" w:val="clear"/>
        </w:rPr>
        <w:t>15.8%</w:t>
      </w:r>
      <w:r>
        <w:rPr>
          <w:rFonts w:ascii="Arial;sans-serif" w:hAnsi="Arial;sans-serif"/>
          <w:b w:val="false"/>
          <w:color w:val="000000"/>
          <w:sz w:val="20"/>
        </w:rPr>
        <w:t>, driven by the implementation of various commercial initiatives.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Capacity</w:t>
      </w:r>
      <w:r>
        <w:rPr>
          <w:color w:val="000000"/>
          <w:shd w:fill="FFFFFF" w:val="clear"/>
        </w:rPr>
        <w:t xml:space="preserve"> </w:t>
      </w:r>
      <w:r>
        <w:rPr>
          <w:rFonts w:ascii="Arial;sans-serif" w:hAnsi="Arial;sans-serif"/>
          <w:b w:val="false"/>
          <w:color w:val="000000"/>
          <w:sz w:val="20"/>
          <w:shd w:fill="FFFFFF" w:val="clear"/>
        </w:rPr>
        <w:t>increased 1.3% year over year, in line with the Company's guidance. The Company continued to optimize its network through disciplined capacity deployment, selectively allocating capacity toward higher-yielding international markets and adjusting flight frequencies to align supply with demand.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Total revenue per Available Seat Mile (“TRASM”) </w:t>
      </w:r>
      <w:r>
        <w:rPr>
          <w:rFonts w:ascii="Arial;sans-serif" w:hAnsi="Arial;sans-serif"/>
          <w:b w:val="false"/>
          <w:color w:val="000000"/>
          <w:sz w:val="20"/>
        </w:rPr>
        <w:t xml:space="preserve">reached 17.2¢, representing a 12.2% year-over-year increase. This growth was primarily driven by higher passenger revenue, particularly across international markets, as well as increases in cargo revenue, loyalty, and other commercial revenues. </w:t>
      </w:r>
    </w:p>
    <w:p>
      <w:pPr>
        <w:pStyle w:val="TextBody"/>
        <w:bidi w:val="0"/>
        <w:spacing w:before="0" w:after="0"/>
        <w:jc w:val="left"/>
        <w:rPr/>
      </w:pPr>
      <w:r>
        <w:rPr/>
      </w:r>
    </w:p>
    <w:tbl>
      <w:tblPr>
        <w:tblW w:w="8054" w:type="dxa"/>
        <w:jc w:val="left"/>
        <w:tblInd w:w="0" w:type="dxa"/>
        <w:tblLayout w:type="fixed"/>
        <w:tblCellMar>
          <w:top w:w="28" w:type="dxa"/>
          <w:left w:w="28" w:type="dxa"/>
          <w:bottom w:w="28" w:type="dxa"/>
          <w:right w:w="28" w:type="dxa"/>
        </w:tblCellMar>
      </w:tblPr>
      <w:tblGrid>
        <w:gridCol w:w="831"/>
        <w:gridCol w:w="730"/>
        <w:gridCol w:w="733"/>
        <w:gridCol w:w="320"/>
        <w:gridCol w:w="320"/>
        <w:gridCol w:w="320"/>
        <w:gridCol w:w="320"/>
        <w:gridCol w:w="320"/>
        <w:gridCol w:w="320"/>
        <w:gridCol w:w="320"/>
        <w:gridCol w:w="320"/>
        <w:gridCol w:w="320"/>
        <w:gridCol w:w="306"/>
        <w:gridCol w:w="306"/>
        <w:gridCol w:w="306"/>
        <w:gridCol w:w="306"/>
        <w:gridCol w:w="306"/>
        <w:gridCol w:w="306"/>
        <w:gridCol w:w="306"/>
        <w:gridCol w:w="306"/>
        <w:gridCol w:w="432"/>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Three Months Ended September 30</w:t>
            </w:r>
          </w:p>
        </w:tc>
        <w:tc>
          <w:tcPr>
            <w:tcW w:w="2880" w:type="dxa"/>
            <w:gridSpan w:val="9"/>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Nine Months Ended September 30 </w:t>
            </w:r>
          </w:p>
        </w:tc>
      </w:tr>
      <w:tr>
        <w:trPr/>
        <w:tc>
          <w:tcPr>
            <w:tcW w:w="2294"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Total revenue (USD million)</w:t>
            </w:r>
          </w:p>
        </w:tc>
        <w:tc>
          <w:tcPr>
            <w:tcW w:w="960" w:type="dxa"/>
            <w:gridSpan w:val="3"/>
            <w:tcBorders>
              <w:top w:val="single" w:sz="16"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2026</w:t>
            </w:r>
          </w:p>
        </w:tc>
        <w:tc>
          <w:tcPr>
            <w:tcW w:w="960" w:type="dxa"/>
            <w:gridSpan w:val="3"/>
            <w:tcBorders>
              <w:top w:val="single" w:sz="16" w:space="0" w:color="000000"/>
            </w:tcBorders>
            <w:shd w:fill="020C4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2025</w:t>
            </w:r>
          </w:p>
        </w:tc>
        <w:tc>
          <w:tcPr>
            <w:tcW w:w="960" w:type="dxa"/>
            <w:gridSpan w:val="3"/>
            <w:tcBorders>
              <w:top w:val="single" w:sz="16"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Var.</w:t>
            </w:r>
          </w:p>
        </w:tc>
        <w:tc>
          <w:tcPr>
            <w:tcW w:w="918" w:type="dxa"/>
            <w:gridSpan w:val="3"/>
            <w:tcBorders>
              <w:top w:val="single" w:sz="16"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2026</w:t>
            </w:r>
          </w:p>
        </w:tc>
        <w:tc>
          <w:tcPr>
            <w:tcW w:w="918" w:type="dxa"/>
            <w:gridSpan w:val="3"/>
            <w:tcBorders>
              <w:top w:val="single" w:sz="16" w:space="0" w:color="000000"/>
            </w:tcBorders>
            <w:shd w:fill="020C4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2025</w:t>
            </w:r>
          </w:p>
        </w:tc>
        <w:tc>
          <w:tcPr>
            <w:tcW w:w="1044" w:type="dxa"/>
            <w:gridSpan w:val="3"/>
            <w:tcBorders>
              <w:top w:val="single" w:sz="16" w:space="0" w:color="000000"/>
              <w:left w:val="single" w:sz="8" w:space="0" w:color="000000"/>
              <w:right w:val="single" w:sz="4"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Var.</w:t>
            </w:r>
          </w:p>
        </w:tc>
      </w:tr>
      <w:tr>
        <w:trPr/>
        <w:tc>
          <w:tcPr>
            <w:tcW w:w="2294" w:type="dxa"/>
            <w:gridSpan w:val="3"/>
            <w:tcBorders>
              <w:left w:val="single" w:sz="8" w:space="0" w:color="000000"/>
            </w:tcBorders>
            <w:tcMar>
              <w:top w:w="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Domestic</w:t>
            </w:r>
          </w:p>
        </w:tc>
        <w:tc>
          <w:tcPr>
            <w:tcW w:w="96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541</w:t>
            </w:r>
          </w:p>
        </w:tc>
        <w:tc>
          <w:tcPr>
            <w:tcW w:w="96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507</w:t>
            </w:r>
          </w:p>
        </w:tc>
        <w:tc>
          <w:tcPr>
            <w:tcW w:w="96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w:t>
            </w:r>
          </w:p>
        </w:tc>
        <w:tc>
          <w:tcPr>
            <w:tcW w:w="91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1,556</w:t>
            </w:r>
          </w:p>
        </w:tc>
        <w:tc>
          <w:tcPr>
            <w:tcW w:w="91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1,418</w:t>
            </w:r>
          </w:p>
        </w:tc>
        <w:tc>
          <w:tcPr>
            <w:tcW w:w="104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9.7%</w:t>
            </w:r>
          </w:p>
        </w:tc>
      </w:tr>
      <w:tr>
        <w:trPr/>
        <w:tc>
          <w:tcPr>
            <w:tcW w:w="2294"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International</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1,078</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918</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2,884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2,505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15.1%</w:t>
            </w:r>
          </w:p>
        </w:tc>
      </w:tr>
      <w:tr>
        <w:trPr/>
        <w:tc>
          <w:tcPr>
            <w:tcW w:w="2294" w:type="dxa"/>
            <w:gridSpan w:val="3"/>
            <w:tcBorders>
              <w:top w:val="single" w:sz="8" w:space="0" w:color="000000"/>
              <w:left w:val="single" w:sz="8" w:space="0" w:color="000000"/>
              <w:bottom w:val="single" w:sz="8" w:space="0" w:color="000000"/>
            </w:tcBorders>
            <w:tcMar>
              <w:top w:w="30" w:type="dxa"/>
              <w:left w:w="37"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revenue</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1,619</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1,425</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13.6%</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4,440</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3,923</w:t>
            </w:r>
          </w:p>
        </w:tc>
        <w:tc>
          <w:tcPr>
            <w:tcW w:w="10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13.2%</w:t>
            </w:r>
          </w:p>
        </w:tc>
      </w:tr>
      <w:tr>
        <w:trPr/>
        <w:tc>
          <w:tcPr>
            <w:tcW w:w="805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Figures may not sum to total due to rounding.</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shd w:fill="FFFFFF" w:val="clear"/>
        </w:rPr>
      </w:pPr>
      <w:r>
        <w:rPr>
          <w:rFonts w:ascii="Arial;sans-serif" w:hAnsi="Arial;sans-serif"/>
          <w:b/>
          <w:color w:val="000000"/>
          <w:sz w:val="22"/>
          <w:shd w:fill="FFFFFF" w:val="clear"/>
        </w:rPr>
        <w:t>Operating Expenses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3Q26, </w:t>
      </w:r>
      <w:r>
        <w:rPr>
          <w:rFonts w:ascii="Arial;sans-serif" w:hAnsi="Arial;sans-serif"/>
          <w:b/>
          <w:color w:val="000000"/>
          <w:sz w:val="20"/>
        </w:rPr>
        <w:t>total operating expenses</w:t>
      </w:r>
      <w:r>
        <w:rPr>
          <w:color w:val="000000"/>
        </w:rPr>
        <w:t>—</w:t>
      </w:r>
      <w:r>
        <w:rPr>
          <w:rFonts w:ascii="Arial;sans-serif" w:hAnsi="Arial;sans-serif"/>
          <w:b w:val="false"/>
          <w:color w:val="000000"/>
          <w:sz w:val="20"/>
        </w:rPr>
        <w:t>including fuel, labor, maintenance, passenger and aircraft services, aircraft leases, selling, general and administrative expenses, depreciation and amortization and other expenses—reached $1.4 billion, an increase of 21.9% compared to 3Q25. The increase was primarily driven by higher fuel costs, as prices remained elevated throughout the quarter, with benchmark prices peaking above $4.7 per gallon in September—the highest level since the Middle East conflict began in March. Fuel expense increased by approximately $171.5 million year-over-year, exceeding the level contemplated in the Company’s 3Q26 guidance by approximately $93.0 million.</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14960"/>
                <wp:effectExtent l="0" t="0" r="0" b="0"/>
                <wp:wrapNone/>
                <wp:docPr id="10" name="Frame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2476500" cy="552450"/>
                    </a:xfrm>
                    <a:prstGeom prst="rect">
                      <a:avLst/>
                    </a:prstGeom>
                  </pic:spPr>
                </pic:pic>
              </a:graphicData>
            </a:graphic>
          </wp:inline>
        </w:drawing>
      </w:r>
    </w:p>
    <w:p>
      <w:pPr>
        <w:pStyle w:val="TextBody"/>
        <w:bidi w:val="0"/>
        <w:spacing w:lineRule="auto" w:line="288" w:before="0" w:after="0"/>
        <w:jc w:val="both"/>
        <w:rPr/>
      </w:pPr>
      <w:r>
        <w:rPr>
          <w:rFonts w:ascii="Arial;sans-serif" w:hAnsi="Arial;sans-serif"/>
          <w:b/>
          <w:color w:val="000000"/>
          <w:sz w:val="20"/>
        </w:rPr>
        <w:t>Fuel cost per gallon</w:t>
      </w:r>
      <w:r>
        <w:rPr>
          <w:rFonts w:ascii="Arial;sans-serif" w:hAnsi="Arial;sans-serif"/>
          <w:b/>
          <w:color w:val="000000"/>
          <w:sz w:val="13"/>
        </w:rPr>
        <w:t>(4)</w:t>
      </w:r>
      <w:r>
        <w:rPr>
          <w:color w:val="000000"/>
        </w:rPr>
        <w:t xml:space="preserve"> </w:t>
      </w:r>
      <w:r>
        <w:rPr>
          <w:rFonts w:ascii="Arial;sans-serif" w:hAnsi="Arial;sans-serif"/>
          <w:b w:val="false"/>
          <w:color w:val="000000"/>
          <w:sz w:val="20"/>
        </w:rPr>
        <w:t xml:space="preserve">increased by 60.6% compared to 3Q25, averaging US$4.0 per gallon in 3Q26 compared to US$2.5 per gallon in 3Q25. Fuel </w:t>
      </w:r>
      <w:r>
        <w:rPr>
          <w:rFonts w:ascii="Arial;sans-serif" w:hAnsi="Arial;sans-serif"/>
          <w:b/>
          <w:color w:val="000000"/>
          <w:sz w:val="20"/>
        </w:rPr>
        <w:t>consumption</w:t>
      </w:r>
      <w:r>
        <w:rPr>
          <w:color w:val="000000"/>
        </w:rPr>
        <w:t xml:space="preserve"> </w:t>
      </w:r>
      <w:r>
        <w:rPr>
          <w:rFonts w:ascii="Arial;sans-serif" w:hAnsi="Arial;sans-serif"/>
          <w:b w:val="false"/>
          <w:color w:val="000000"/>
          <w:sz w:val="20"/>
        </w:rPr>
        <w:t xml:space="preserve">decreased by 1.8% year-over-year, while </w:t>
      </w:r>
      <w:r>
        <w:rPr>
          <w:rFonts w:ascii="Arial;sans-serif" w:hAnsi="Arial;sans-serif"/>
          <w:b/>
          <w:color w:val="000000"/>
          <w:sz w:val="20"/>
        </w:rPr>
        <w:t xml:space="preserve">fuel burn per ASM </w:t>
      </w:r>
      <w:r>
        <w:rPr>
          <w:rFonts w:ascii="Arial;sans-serif" w:hAnsi="Arial;sans-serif"/>
          <w:b w:val="false"/>
          <w:color w:val="000000"/>
          <w:sz w:val="20"/>
        </w:rPr>
        <w:t xml:space="preserve">(liters of fuel consumed per ASM) decreased by 3.1%, mainly due to a more efficient fleet mix.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Excluding fuel, operating expenses rose 9.8% year over year. This rise primarily reflected the continued strength of the Mexican peso, which increased the dollar-denominated cost of certain peso-based expenses, as well as inflationary pressures on wages, salaries, and benefits, higher distribution costs due to increased sales, and increased depreciation and amortization associated to fleet growth.</w:t>
      </w:r>
    </w:p>
    <w:p>
      <w:pPr>
        <w:pStyle w:val="TextBody"/>
        <w:bidi w:val="0"/>
        <w:spacing w:lineRule="auto" w:line="288" w:before="0" w:after="0"/>
        <w:jc w:val="both"/>
        <w:rPr/>
      </w:pPr>
      <w:r>
        <w:rPr>
          <w:rFonts w:ascii="Arial;sans-serif" w:hAnsi="Arial;sans-serif"/>
          <w:b/>
          <w:color w:val="000000"/>
          <w:sz w:val="20"/>
        </w:rPr>
        <w:t>CASM-Ex</w:t>
      </w:r>
      <w:r>
        <w:rPr>
          <w:color w:val="000000"/>
        </w:rPr>
        <w:t xml:space="preserve"> </w:t>
      </w:r>
      <w:r>
        <w:rPr>
          <w:rFonts w:ascii="Arial;sans-serif" w:hAnsi="Arial;sans-serif"/>
          <w:b w:val="false"/>
          <w:color w:val="000000"/>
          <w:sz w:val="20"/>
        </w:rPr>
        <w:t>was 10.1¢ in 3Q26, representing an increase of 7.1% compared with the same period in 2025. The increase primarily reflected the impact of the stronger Mexican peso and inflationary pressures, partially offset by continued cost discipline and operating efficiencies.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shd w:fill="FFFFFF" w:val="clear"/>
        </w:rPr>
        <w:t>Adjusted EBITDAR</w:t>
      </w:r>
      <w:r>
        <w:rPr>
          <w:rFonts w:ascii="Arial;sans-serif" w:hAnsi="Arial;sans-serif"/>
          <w:b/>
          <w:color w:val="000000"/>
          <w:sz w:val="14"/>
          <w:shd w:fill="FFFFFF" w:val="clear"/>
        </w:rPr>
        <w:t>(1)</w:t>
      </w:r>
      <w:r>
        <w:rPr>
          <w:color w:val="000000"/>
          <w:shd w:fill="FFFFFF" w:val="clear"/>
        </w:rPr>
        <w:t xml:space="preserve"> </w:t>
      </w:r>
      <w:r>
        <w:rPr>
          <w:rFonts w:ascii="Arial;sans-serif" w:hAnsi="Arial;sans-serif"/>
          <w:b/>
          <w:color w:val="000000"/>
          <w:sz w:val="22"/>
          <w:shd w:fill="FFFFFF" w:val="clear"/>
        </w:rPr>
        <w:t>and Operating Income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Adjusted EBITDAR</w:t>
      </w:r>
      <w:r>
        <w:rPr>
          <w:rFonts w:ascii="Arial;sans-serif" w:hAnsi="Arial;sans-serif"/>
          <w:b/>
          <w:color w:val="000000"/>
          <w:sz w:val="13"/>
          <w:shd w:fill="FFFFFF" w:val="clear"/>
        </w:rPr>
        <w:t>(1)</w:t>
      </w:r>
      <w:r>
        <w:rPr>
          <w:color w:val="000000"/>
          <w:shd w:fill="FFFFFF" w:val="clear"/>
        </w:rPr>
        <w:t xml:space="preserve"> </w:t>
      </w:r>
      <w:r>
        <w:rPr>
          <w:rFonts w:ascii="Arial;sans-serif" w:hAnsi="Arial;sans-serif"/>
          <w:b w:val="false"/>
          <w:color w:val="000000"/>
          <w:sz w:val="20"/>
          <w:shd w:fill="FFFFFF" w:val="clear"/>
        </w:rPr>
        <w:t>amounted to $389.2 million, representing a strong 24.0% margin. These results reflect solid revenue performance and the Company's ability to offset the year-over-year increase in fuel costs in absolute terms.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 xml:space="preserve">Operating income </w:t>
      </w:r>
      <w:r>
        <w:rPr>
          <w:rFonts w:ascii="Arial;sans-serif" w:hAnsi="Arial;sans-serif"/>
          <w:b w:val="false"/>
          <w:color w:val="000000"/>
          <w:sz w:val="20"/>
          <w:shd w:fill="FFFFFF" w:val="clear"/>
        </w:rPr>
        <w:t>for the third quarter was $189.6 million, representing a robust 11.7% operating margin. While profitability was pressured by a higher-than-expected fuel environment and the expected increase in non-fuel operating costs, this performance underscores the strength of the Company's business model and its ability to preserve healthy profitability despite these headwinds.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Net Financing Cost</w:t>
      </w:r>
    </w:p>
    <w:p>
      <w:pPr>
        <w:pStyle w:val="TextBody"/>
        <w:bidi w:val="0"/>
        <w:spacing w:before="0" w:after="0"/>
        <w:jc w:val="both"/>
        <w:rPr/>
      </w:pPr>
      <w:r>
        <w:rPr/>
      </w:r>
    </w:p>
    <w:p>
      <w:pPr>
        <w:pStyle w:val="TextBody"/>
        <w:bidi w:val="0"/>
        <w:spacing w:lineRule="auto" w:line="288" w:before="0" w:after="160"/>
        <w:jc w:val="both"/>
        <w:rPr/>
      </w:pPr>
      <w:r>
        <w:rPr>
          <w:rFonts w:ascii="Arial;sans-serif" w:hAnsi="Arial;sans-serif"/>
          <w:b/>
          <w:color w:val="000000"/>
          <w:sz w:val="20"/>
        </w:rPr>
        <w:t>Net financing costs</w:t>
      </w:r>
      <w:r>
        <w:rPr>
          <w:color w:val="000000"/>
        </w:rPr>
        <w:t xml:space="preserve"> </w:t>
      </w:r>
      <w:r>
        <w:rPr>
          <w:rFonts w:ascii="Arial;sans-serif" w:hAnsi="Arial;sans-serif"/>
          <w:b w:val="false"/>
          <w:color w:val="000000"/>
          <w:sz w:val="20"/>
        </w:rPr>
        <w:t>increased by 7.7% compared to the same period in 2025, mainly driven by higher financial expenses arising from lease obligations associated with fleet expansion.</w:t>
      </w:r>
    </w:p>
    <w:p>
      <w:pPr>
        <w:pStyle w:val="TextBody"/>
        <w:bidi w:val="0"/>
        <w:spacing w:before="0" w:after="160"/>
        <w:jc w:val="both"/>
        <w:rPr/>
      </w:pPr>
      <w:r>
        <w:rPr/>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Net Income</w:t>
      </w:r>
    </w:p>
    <w:p>
      <w:pPr>
        <w:pStyle w:val="TextBody"/>
        <w:bidi w:val="0"/>
        <w:spacing w:lineRule="auto" w:line="288" w:before="0" w:after="0"/>
        <w:jc w:val="both"/>
        <w:rPr/>
      </w:pPr>
      <w:r>
        <w:rPr>
          <w:rFonts w:ascii="Arial;sans-serif" w:hAnsi="Arial;sans-serif"/>
          <w:b/>
          <w:color w:val="000000"/>
          <w:sz w:val="20"/>
          <w:shd w:fill="FFFFFF" w:val="clear"/>
        </w:rPr>
        <w:t>Net income</w:t>
      </w:r>
      <w:r>
        <w:rPr>
          <w:color w:val="000000"/>
        </w:rPr>
        <w:t xml:space="preserve"> </w:t>
      </w:r>
      <w:r>
        <w:rPr>
          <w:rFonts w:ascii="Arial;sans-serif" w:hAnsi="Arial;sans-serif"/>
          <w:b w:val="false"/>
          <w:color w:val="000000"/>
          <w:sz w:val="20"/>
        </w:rPr>
        <w:t>in 3Q26 tota</w:t>
      </w:r>
      <w:r>
        <w:rPr>
          <w:rFonts w:ascii="Arial;sans-serif" w:hAnsi="Arial;sans-serif"/>
          <w:b w:val="false"/>
          <w:color w:val="000000"/>
          <w:sz w:val="20"/>
          <w:shd w:fill="FFFFFF" w:val="clear"/>
        </w:rPr>
        <w:t>led $40.6 million, with a 2.5% margin.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BALANCE SHEET AND CASH FLOW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As of September 30, 2026, Aeroméxico generated $541.7 million in </w:t>
      </w:r>
      <w:r>
        <w:rPr>
          <w:rFonts w:ascii="Arial;sans-serif" w:hAnsi="Arial;sans-serif"/>
          <w:b/>
          <w:color w:val="000000"/>
          <w:sz w:val="20"/>
        </w:rPr>
        <w:t>net cash from operating activities</w:t>
      </w:r>
      <w:r>
        <w:rPr>
          <w:rFonts w:ascii="Arial;sans-serif" w:hAnsi="Arial;sans-serif"/>
          <w:b w:val="false"/>
          <w:color w:val="000000"/>
          <w:sz w:val="20"/>
        </w:rPr>
        <w:t>, supporting both its planned investments and deleveraging program. Despite elevated fuel prices and related cost pressures, this strong operating cash generation enabled the Company to maintain its capital expenditure plan while continuing to reduce financial debt. During the third quarter, the Company repaid $7.2 million of financial debt, further reducing its outstanding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As of September 30, 2026, Aeroméxico reported </w:t>
      </w:r>
      <w:r>
        <w:rPr>
          <w:rFonts w:ascii="Arial;sans-serif" w:hAnsi="Arial;sans-serif"/>
          <w:b/>
          <w:color w:val="000000"/>
          <w:sz w:val="20"/>
        </w:rPr>
        <w:t>cash and cash equivalents of</w:t>
      </w:r>
      <w:r>
        <w:rPr>
          <w:color w:val="000000"/>
        </w:rPr>
        <w:t xml:space="preserve"> </w:t>
      </w:r>
      <w:r>
        <w:rPr>
          <w:rFonts w:ascii="Arial;sans-serif" w:hAnsi="Arial;sans-serif"/>
          <w:b w:val="false"/>
          <w:color w:val="000000"/>
          <w:sz w:val="20"/>
        </w:rPr>
        <w:t xml:space="preserve">$965.1 million, an increase of $31.0 million compared with the same period in the previous year. During the quarter, the Company renewed and upsized its revolving credit facility from $200.0 million to $250.0 million. Including the revolving credit facility, total liquidity reached $1.2 billion, representing 20.7% of last-twelve-month revenue.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14960"/>
                <wp:effectExtent l="0" t="0" r="0" b="0"/>
                <wp:wrapNone/>
                <wp:docPr id="12" name="Frame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476500" cy="5524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xml:space="preserve">OPERATING FLEET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During </w:t>
      </w:r>
      <w:r>
        <w:rPr>
          <w:rFonts w:ascii="Arial;sans-serif" w:hAnsi="Arial;sans-serif"/>
          <w:b w:val="false"/>
          <w:color w:val="000000"/>
          <w:sz w:val="20"/>
        </w:rPr>
        <w:t>3Q26, Grupo Aeroméxico received one Boeing 787-9 aircraft. Grupo Aeroméxico’s operating fleet was comprised of 170 aircraft as of September 30, 2026, with an average age of 9.1 years.</w:t>
      </w:r>
    </w:p>
    <w:p>
      <w:pPr>
        <w:pStyle w:val="TextBody"/>
        <w:bidi w:val="0"/>
        <w:spacing w:before="0" w:after="0"/>
        <w:jc w:val="both"/>
        <w:rPr/>
      </w:pPr>
      <w:r>
        <w:rPr/>
      </w:r>
    </w:p>
    <w:tbl>
      <w:tblPr>
        <w:tblW w:w="3873" w:type="dxa"/>
        <w:jc w:val="center"/>
        <w:tblInd w:w="0" w:type="dxa"/>
        <w:tblLayout w:type="fixed"/>
        <w:tblCellMar>
          <w:top w:w="28" w:type="dxa"/>
          <w:left w:w="28" w:type="dxa"/>
          <w:bottom w:w="28" w:type="dxa"/>
          <w:right w:w="28" w:type="dxa"/>
        </w:tblCellMar>
      </w:tblPr>
      <w:tblGrid>
        <w:gridCol w:w="646"/>
        <w:gridCol w:w="567"/>
        <w:gridCol w:w="571"/>
        <w:gridCol w:w="170"/>
        <w:gridCol w:w="170"/>
        <w:gridCol w:w="171"/>
        <w:gridCol w:w="170"/>
        <w:gridCol w:w="170"/>
        <w:gridCol w:w="171"/>
        <w:gridCol w:w="170"/>
        <w:gridCol w:w="170"/>
        <w:gridCol w:w="171"/>
        <w:gridCol w:w="162"/>
        <w:gridCol w:w="162"/>
        <w:gridCol w:w="232"/>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Operating Fleet</w:t>
            </w:r>
          </w:p>
        </w:tc>
        <w:tc>
          <w:tcPr>
            <w:tcW w:w="511" w:type="dxa"/>
            <w:gridSpan w:val="3"/>
            <w:tcBorders>
              <w:top w:val="single" w:sz="4"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4Q25</w:t>
            </w:r>
          </w:p>
        </w:tc>
        <w:tc>
          <w:tcPr>
            <w:tcW w:w="511" w:type="dxa"/>
            <w:gridSpan w:val="3"/>
            <w:tcBorders>
              <w:top w:val="single" w:sz="4"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1Q26</w:t>
            </w:r>
          </w:p>
        </w:tc>
        <w:tc>
          <w:tcPr>
            <w:tcW w:w="511" w:type="dxa"/>
            <w:gridSpan w:val="3"/>
            <w:tcBorders>
              <w:top w:val="single" w:sz="4" w:space="0" w:color="000000"/>
              <w:left w:val="single" w:sz="4"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2Q26</w:t>
            </w:r>
          </w:p>
        </w:tc>
        <w:tc>
          <w:tcPr>
            <w:tcW w:w="556" w:type="dxa"/>
            <w:gridSpan w:val="3"/>
            <w:tcBorders>
              <w:top w:val="single" w:sz="4" w:space="0" w:color="000000"/>
              <w:left w:val="single" w:sz="4" w:space="0" w:color="000000"/>
              <w:right w:val="single" w:sz="4"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3Q26</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B-737-800</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B-737 MAX 8</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45</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45</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B-737 MAX 9</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B-787-8</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B-787-9</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Aeroméxico</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131</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132</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135</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136</w:t>
            </w:r>
          </w:p>
        </w:tc>
      </w:tr>
      <w:tr>
        <w:trPr/>
        <w:tc>
          <w:tcPr>
            <w:tcW w:w="1784" w:type="dxa"/>
            <w:gridSpan w:val="3"/>
            <w:tcBorders>
              <w:top w:val="single" w:sz="4" w:space="0" w:color="000000"/>
              <w:left w:val="single" w:sz="4" w:space="0" w:color="000000"/>
            </w:tcBorders>
            <w:shd w:fill="020C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shd w:fill="020C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shd w:fill="020C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shd w:fill="020C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left w:val="single" w:sz="4" w:space="0" w:color="000000"/>
              <w:right w:val="single" w:sz="4" w:space="0" w:color="000000"/>
            </w:tcBorders>
            <w:shd w:fill="020C41" w:val="clear"/>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E-190</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Aeroméxico Connect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34</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34</w:t>
            </w:r>
          </w:p>
        </w:tc>
        <w:tc>
          <w:tcPr>
            <w:tcW w:w="5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34</w:t>
            </w:r>
          </w:p>
        </w:tc>
      </w:tr>
      <w:tr>
        <w:trPr/>
        <w:tc>
          <w:tcPr>
            <w:tcW w:w="1784" w:type="dxa"/>
            <w:gridSpan w:val="3"/>
            <w:tcBorders>
              <w:top w:val="single" w:sz="4" w:space="0" w:color="000000"/>
              <w:left w:val="single" w:sz="4" w:space="0" w:color="000000"/>
              <w:bottom w:val="single" w:sz="4" w:space="0" w:color="000000"/>
            </w:tcBorders>
            <w:shd w:fill="020C41"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Grupo Aeroméxico</w:t>
            </w:r>
          </w:p>
        </w:tc>
        <w:tc>
          <w:tcPr>
            <w:tcW w:w="511" w:type="dxa"/>
            <w:gridSpan w:val="3"/>
            <w:tcBorders>
              <w:top w:val="single" w:sz="4" w:space="0" w:color="000000"/>
              <w:left w:val="single" w:sz="4" w:space="0" w:color="000000"/>
              <w:bottom w:val="single" w:sz="4" w:space="0" w:color="000000"/>
            </w:tcBorders>
            <w:shd w:fill="020C41"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165</w:t>
            </w:r>
          </w:p>
        </w:tc>
        <w:tc>
          <w:tcPr>
            <w:tcW w:w="511" w:type="dxa"/>
            <w:gridSpan w:val="3"/>
            <w:tcBorders>
              <w:top w:val="single" w:sz="4" w:space="0" w:color="000000"/>
              <w:left w:val="single" w:sz="4" w:space="0" w:color="000000"/>
              <w:bottom w:val="single" w:sz="4" w:space="0" w:color="000000"/>
            </w:tcBorders>
            <w:shd w:fill="020C41"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166</w:t>
            </w:r>
          </w:p>
        </w:tc>
        <w:tc>
          <w:tcPr>
            <w:tcW w:w="511" w:type="dxa"/>
            <w:gridSpan w:val="3"/>
            <w:tcBorders>
              <w:top w:val="single" w:sz="4" w:space="0" w:color="000000"/>
              <w:left w:val="single" w:sz="4" w:space="0" w:color="000000"/>
              <w:bottom w:val="single" w:sz="4" w:space="0" w:color="000000"/>
            </w:tcBorders>
            <w:shd w:fill="020C41"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169</w:t>
            </w:r>
          </w:p>
        </w:tc>
        <w:tc>
          <w:tcPr>
            <w:tcW w:w="556" w:type="dxa"/>
            <w:gridSpan w:val="3"/>
            <w:tcBorders>
              <w:top w:val="single" w:sz="4" w:space="0" w:color="000000"/>
              <w:left w:val="single" w:sz="4" w:space="0" w:color="000000"/>
              <w:bottom w:val="single" w:sz="4" w:space="0" w:color="000000"/>
              <w:right w:val="single" w:sz="4" w:space="0" w:color="000000"/>
            </w:tcBorders>
            <w:shd w:fill="020C41" w:val="clear"/>
            <w:tcMar>
              <w:top w:w="30" w:type="dxa"/>
              <w:bottom w:w="3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170</w:t>
            </w:r>
          </w:p>
        </w:tc>
      </w:tr>
    </w:tbl>
    <w:p>
      <w:pPr>
        <w:pStyle w:val="TextBody"/>
        <w:bidi w:val="0"/>
        <w:spacing w:before="0" w:after="0"/>
        <w:jc w:val="center"/>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14960"/>
                <wp:effectExtent l="0" t="0" r="0" b="0"/>
                <wp:wrapNone/>
                <wp:docPr id="14" name="Frame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2476500" cy="5524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Footnotes</w:t>
      </w:r>
    </w:p>
    <w:p>
      <w:pPr>
        <w:pStyle w:val="TextBody"/>
        <w:bidi w:val="0"/>
        <w:spacing w:before="0" w:after="160"/>
        <w:jc w:val="center"/>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(1)See Annex A for the definition of Aeroméxico’s non-IFRS measures and a reconciliation to the nearest IFRS measure.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(2)Liquidity is defined as cash and cash equivalents, and the revolving credit facility.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 xml:space="preserve">(3)Premium revenue mix consists of revenue from premium products and services above </w:t>
      </w:r>
      <w:r>
        <w:rPr>
          <w:rFonts w:ascii="Arial;sans-serif" w:hAnsi="Arial;sans-serif"/>
          <w:b w:val="false"/>
          <w:i/>
          <w:color w:val="000000"/>
          <w:sz w:val="20"/>
        </w:rPr>
        <w:t>Basic</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Classic</w:t>
      </w:r>
      <w:r>
        <w:rPr>
          <w:color w:val="000000"/>
        </w:rPr>
        <w:t xml:space="preserve"> </w:t>
      </w:r>
      <w:r>
        <w:rPr>
          <w:rFonts w:ascii="Arial;sans-serif" w:hAnsi="Arial;sans-serif"/>
          <w:b w:val="false"/>
          <w:color w:val="000000"/>
          <w:sz w:val="20"/>
        </w:rPr>
        <w:t>coach cabin products. Ratio is calculated based on total passenger revenue.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(4)Equivalent to 1.05 USD per liter in 3Q26 and 66¢ per liter in 3Q25.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3Q26 EARNINGS CALL INFORMATION</w:t>
      </w:r>
    </w:p>
    <w:p>
      <w:pPr>
        <w:pStyle w:val="TextBody"/>
        <w:bidi w:val="0"/>
        <w:spacing w:before="0" w:after="0"/>
        <w:jc w:val="left"/>
        <w:rPr/>
      </w:pPr>
      <w:r>
        <w:rPr/>
      </w:r>
    </w:p>
    <w:tbl>
      <w:tblPr>
        <w:tblW w:w="9929" w:type="dxa"/>
        <w:jc w:val="left"/>
        <w:tblInd w:w="0" w:type="dxa"/>
        <w:tblLayout w:type="fixed"/>
        <w:tblCellMar>
          <w:top w:w="28" w:type="dxa"/>
          <w:left w:w="28" w:type="dxa"/>
          <w:bottom w:w="28" w:type="dxa"/>
          <w:right w:w="28" w:type="dxa"/>
        </w:tblCellMar>
      </w:tblPr>
      <w:tblGrid>
        <w:gridCol w:w="788"/>
        <w:gridCol w:w="693"/>
        <w:gridCol w:w="709"/>
        <w:gridCol w:w="2263"/>
        <w:gridCol w:w="2263"/>
        <w:gridCol w:w="3213"/>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Date</w:t>
            </w:r>
          </w:p>
        </w:tc>
        <w:tc>
          <w:tcPr>
            <w:tcW w:w="7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Tuesday, October 20, 2026</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Time</w:t>
            </w:r>
          </w:p>
        </w:tc>
        <w:tc>
          <w:tcPr>
            <w:tcW w:w="7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10:00 a.m. ET (NY) / 8:00 a.m. CT (CDMX)</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Webcast Link</w:t>
            </w:r>
          </w:p>
        </w:tc>
        <w:tc>
          <w:tcPr>
            <w:tcW w:w="7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FF"/>
                <w:sz w:val="20"/>
                <w:u w:val="single"/>
              </w:rPr>
            </w:pPr>
            <w:r>
              <w:rPr>
                <w:rFonts w:ascii="Arial;sans-serif" w:hAnsi="Arial;sans-serif"/>
                <w:b w:val="false"/>
                <w:i/>
                <w:color w:val="0000FF"/>
                <w:sz w:val="20"/>
                <w:u w:val="single"/>
              </w:rPr>
              <w:t>https://edge.media-server.com/mmc/p/uh5yer4m/</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Participant Listening* </w:t>
            </w:r>
          </w:p>
        </w:tc>
        <w:tc>
          <w:tcPr>
            <w:tcW w:w="7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FF"/>
                <w:sz w:val="20"/>
                <w:u w:val="single"/>
              </w:rPr>
            </w:pPr>
            <w:r>
              <w:rPr>
                <w:rFonts w:ascii="Arial;sans-serif" w:hAnsi="Arial;sans-serif"/>
                <w:b w:val="false"/>
                <w:i/>
                <w:color w:val="0000FF"/>
                <w:sz w:val="20"/>
                <w:u w:val="single"/>
              </w:rPr>
              <w:t>https://register-conf.media-server.com/register/BIce2042e6b22d45d587f891c8178a6137</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*Participants can complete the online registration form and upon registering will receive the dial-in info and a unique PIN to join the call.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About Grupo Aeroméxico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Grupo Aeroméxico, S.A.B. de C.V. is a holding company whose subsidiaries are engaged in commercial aviation in Mexico and the promotion of passenger loyalty programs. Aeroméxico, Mexico's global airline, has its main operations center in Terminal 2 of the Mexico City International Airport. Its destination network has reach in Mexico, the United States, Canada, Central America, South America, Asia and Europe. The Group's current operating fleet includes Boeing 787 and 737 aircraft, as well as the latest generation Embraer 190. Aeroméxico is a founding partner of SkyTeam, an alliance that celebrates 26 years and offers connectivity in more than 170 countries, through the 18 partner airlines. Aeroméxico created and implemented a Health and Hygiene Management System (SGSH) to protect its clients and collaborators at all stages of its operation.</w:t>
      </w:r>
      <w:r>
        <w:rPr>
          <w:rFonts w:ascii="Arial;sans-serif" w:hAnsi="Arial;sans-serif"/>
          <w:b w:val="false"/>
          <w:i/>
          <w:color w:val="0000FF"/>
          <w:sz w:val="18"/>
        </w:rPr>
        <w:t>www.aeromexico.com</w:t>
      </w:r>
      <w:r>
        <w:rPr>
          <w:color w:val="000000"/>
        </w:rPr>
        <w:t xml:space="preserve"> </w:t>
      </w:r>
      <w:r>
        <w:rPr>
          <w:rFonts w:ascii="Times New Roman;serif" w:hAnsi="Times New Roman;serif"/>
          <w:b w:val="false"/>
          <w:color w:val="000000"/>
          <w:sz w:val="18"/>
        </w:rPr>
        <w:t xml:space="preserve">/ </w:t>
      </w:r>
      <w:r>
        <w:rPr>
          <w:rFonts w:ascii="Arial;sans-serif" w:hAnsi="Arial;sans-serif"/>
          <w:b w:val="false"/>
          <w:i/>
          <w:color w:val="0000FF"/>
          <w:sz w:val="18"/>
        </w:rPr>
        <w:t>www.skyteam.com</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4960"/>
                <wp:effectExtent l="0" t="0" r="0" b="0"/>
                <wp:wrapNone/>
                <wp:docPr id="16" name="Frame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2476500" cy="552450"/>
                    </a:xfrm>
                    <a:prstGeom prst="rect">
                      <a:avLst/>
                    </a:prstGeom>
                  </pic:spPr>
                </pic:pic>
              </a:graphicData>
            </a:graphic>
          </wp:inline>
        </w:drawing>
      </w:r>
    </w:p>
    <w:p>
      <w:pPr>
        <w:pStyle w:val="TextBody"/>
        <w:bidi w:val="0"/>
        <w:spacing w:lineRule="auto" w:line="288" w:before="0" w:after="0"/>
        <w:jc w:val="both"/>
        <w:rPr/>
      </w:pPr>
      <w:r>
        <w:rPr>
          <w:rFonts w:ascii="Arial;sans-serif" w:hAnsi="Arial;sans-serif"/>
          <w:b/>
          <w:i/>
          <w:color w:val="000000"/>
          <w:sz w:val="20"/>
        </w:rPr>
        <w:t>Forward Looking Statements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accidents, global instability, security breaches, terrorism and natural disasters; global geopolitical conflicts, particularly those that impact the price of jet fuel;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annual report on Form 20-F filed with the SEC on April 30, 2026.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14960"/>
                <wp:effectExtent l="0" t="0" r="0" b="0"/>
                <wp:wrapNone/>
                <wp:docPr id="18" name="Frame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2476500" cy="5524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484"/>
        <w:gridCol w:w="1295"/>
        <w:gridCol w:w="1293"/>
        <w:gridCol w:w="334"/>
        <w:gridCol w:w="332"/>
        <w:gridCol w:w="332"/>
        <w:gridCol w:w="334"/>
        <w:gridCol w:w="332"/>
        <w:gridCol w:w="332"/>
        <w:gridCol w:w="334"/>
        <w:gridCol w:w="332"/>
        <w:gridCol w:w="332"/>
        <w:gridCol w:w="334"/>
        <w:gridCol w:w="332"/>
        <w:gridCol w:w="332"/>
        <w:gridCol w:w="334"/>
        <w:gridCol w:w="332"/>
        <w:gridCol w:w="332"/>
        <w:gridCol w:w="334"/>
        <w:gridCol w:w="332"/>
        <w:gridCol w:w="477"/>
      </w:tblGrid>
      <w:tr>
        <w:trPr/>
        <w:tc>
          <w:tcPr>
            <w:tcW w:w="148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Grupo Aeroméxico, S.A.B. de C.V. and Subsidiaries</w:t>
            </w:r>
          </w:p>
        </w:tc>
      </w:tr>
      <w:tr>
        <w:trPr/>
        <w:tc>
          <w:tcPr>
            <w:tcW w:w="10205" w:type="dxa"/>
            <w:gridSpan w:val="21"/>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Consolidated Statements of Profit or Loss and other Comprehensive Income (Unaudited)</w:t>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Three Months Ended September 30</w:t>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 xml:space="preserve">Nine Months Ended September 30 </w:t>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Var. %</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2025</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Var. %</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Revenues:</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Passenger</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3,935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3,557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cargo</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230</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86.4%</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revenue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1,619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1,425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4,440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3,923</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13.2%</w:t>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expenses:</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Jet-fuel</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858</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48.9%</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Wages, salaries and benefits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829</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Maintenance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communications and traffic services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451</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Passenger services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Travel agent commissions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and administrative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leasing</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and amortization</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(reversal)</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loss, net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 of gain on equity accounted investees, net of tax</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operating expenses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1,429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1,172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4,040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3,297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22.5%</w:t>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operating income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190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253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(25.0)%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399</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625</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(36.1)%</w:t>
            </w:r>
          </w:p>
        </w:tc>
      </w:tr>
      <w:tr>
        <w:trPr/>
        <w:tc>
          <w:tcPr>
            <w:tcW w:w="4072" w:type="dxa"/>
            <w:gridSpan w:val="3"/>
            <w:tcBorders/>
            <w:tcMar>
              <w:top w:w="0" w:type="dxa"/>
              <w:left w:w="0" w:type="dxa"/>
              <w:bottom w:w="0" w:type="dxa"/>
              <w:right w:w="0" w:type="dxa"/>
            </w:tcMar>
            <w:vAlign w:val="center"/>
          </w:tcPr>
          <w:p>
            <w:pPr>
              <w:pStyle w:val="TableContents"/>
              <w:bidi w:val="0"/>
              <w:spacing w:before="0" w:after="0"/>
              <w:ind w:left="0" w:right="0" w:firstLine="170"/>
              <w:jc w:val="left"/>
              <w:rPr/>
            </w:pPr>
            <w:r>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Finance income (cost):</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finance cost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(391)</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before income tax</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(benefit)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for the period</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97</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(58.1)%</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187</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Figures may not sum to total due to rounding.</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154" w:type="dxa"/>
        <w:jc w:val="left"/>
        <w:tblInd w:w="0" w:type="dxa"/>
        <w:tblLayout w:type="fixed"/>
        <w:tblCellMar>
          <w:top w:w="28" w:type="dxa"/>
          <w:left w:w="28" w:type="dxa"/>
          <w:bottom w:w="28" w:type="dxa"/>
          <w:right w:w="28" w:type="dxa"/>
        </w:tblCellMar>
      </w:tblPr>
      <w:tblGrid>
        <w:gridCol w:w="1592"/>
        <w:gridCol w:w="1399"/>
        <w:gridCol w:w="1404"/>
        <w:gridCol w:w="480"/>
        <w:gridCol w:w="480"/>
        <w:gridCol w:w="480"/>
        <w:gridCol w:w="480"/>
        <w:gridCol w:w="480"/>
        <w:gridCol w:w="480"/>
        <w:gridCol w:w="449"/>
        <w:gridCol w:w="449"/>
        <w:gridCol w:w="449"/>
        <w:gridCol w:w="449"/>
        <w:gridCol w:w="449"/>
        <w:gridCol w:w="63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0154" w:type="dxa"/>
            <w:gridSpan w:val="15"/>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Grupo Aeroméxico, S.A.B. de C.V. and Subsidiaries</w:t>
            </w:r>
          </w:p>
        </w:tc>
      </w:tr>
      <w:tr>
        <w:trPr/>
        <w:tc>
          <w:tcPr>
            <w:tcW w:w="10154" w:type="dxa"/>
            <w:gridSpan w:val="15"/>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Earnings per Share (Unaudited)</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Three Months Ended September 30</w:t>
            </w:r>
          </w:p>
        </w:tc>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 xml:space="preserve">Nine Months Ended September 30 </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of U.S. dollars, except for income per share)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2025</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2026</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2025</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for the year</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from continuing operations</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income per share (US dollars)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0.03</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0.07</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0.00</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0.14</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income per share (US dollars)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0.07</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0.00</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0.14</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income (loss) per ADS (US dollars)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0.28</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0.72</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income (loss) per ADS (US dollars)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0.28</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0.71</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i/>
                <w:color w:val="000000"/>
                <w:sz w:val="14"/>
              </w:rPr>
            </w:pPr>
            <w:r>
              <w:rPr>
                <w:rFonts w:ascii="Times New Roman;serif" w:hAnsi="Times New Roman;serif"/>
                <w:b w:val="false"/>
                <w:i/>
                <w:color w:val="000000"/>
                <w:sz w:val="14"/>
              </w:rPr>
              <w:t>Figures may not sum to total due to rounding.</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4960"/>
                <wp:effectExtent l="0" t="0" r="0" b="0"/>
                <wp:wrapNone/>
                <wp:docPr id="20" name="Frame1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2476500" cy="552450"/>
                    </a:xfrm>
                    <a:prstGeom prst="rect">
                      <a:avLst/>
                    </a:prstGeom>
                  </pic:spPr>
                </pic:pic>
              </a:graphicData>
            </a:graphic>
          </wp:inline>
        </w:drawing>
      </w:r>
    </w:p>
    <w:tbl>
      <w:tblPr>
        <w:tblW w:w="7219" w:type="dxa"/>
        <w:jc w:val="left"/>
        <w:tblInd w:w="0" w:type="dxa"/>
        <w:tblLayout w:type="fixed"/>
        <w:tblCellMar>
          <w:top w:w="28" w:type="dxa"/>
          <w:left w:w="28" w:type="dxa"/>
          <w:bottom w:w="28" w:type="dxa"/>
          <w:right w:w="28" w:type="dxa"/>
        </w:tblCellMar>
      </w:tblPr>
      <w:tblGrid>
        <w:gridCol w:w="1391"/>
        <w:gridCol w:w="1229"/>
        <w:gridCol w:w="1229"/>
        <w:gridCol w:w="545"/>
        <w:gridCol w:w="545"/>
        <w:gridCol w:w="545"/>
        <w:gridCol w:w="507"/>
        <w:gridCol w:w="507"/>
        <w:gridCol w:w="721"/>
      </w:tblGrid>
      <w:tr>
        <w:trPr/>
        <w:tc>
          <w:tcPr>
            <w:tcW w:w="13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219" w:type="dxa"/>
            <w:gridSpan w:val="9"/>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Grupo Aeroméxico, S.A.B. de C.V. and Subsidiaries</w:t>
            </w:r>
          </w:p>
        </w:tc>
      </w:tr>
      <w:tr>
        <w:trPr/>
        <w:tc>
          <w:tcPr>
            <w:tcW w:w="7219" w:type="dxa"/>
            <w:gridSpan w:val="9"/>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Consolidated Statements of Financial Position (Unaudited)</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(USD Millions)</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September 30, 2026</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December 31, 2025</w:t>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7"/>
              </w:rPr>
            </w:pPr>
            <w:r>
              <w:rPr>
                <w:rFonts w:ascii="Arial;sans-serif" w:hAnsi="Arial;sans-serif"/>
                <w:b/>
                <w:i/>
                <w:color w:val="000000"/>
                <w:sz w:val="17"/>
              </w:rPr>
              <w:t>Assets</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 xml:space="preserve">Cash and cash equivalents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965</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Trade and other receivables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854</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Due from related parties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Prepayments and deposits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Inventories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194</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current assets</w:t>
            </w:r>
          </w:p>
        </w:tc>
        <w:tc>
          <w:tcPr>
            <w:tcW w:w="1635" w:type="dxa"/>
            <w:gridSpan w:val="3"/>
            <w:tcBorders>
              <w:left w:val="single" w:sz="16" w:space="0" w:color="FFFFFF"/>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2,088</w:t>
            </w:r>
          </w:p>
        </w:tc>
        <w:tc>
          <w:tcPr>
            <w:tcW w:w="1735" w:type="dxa"/>
            <w:gridSpan w:val="3"/>
            <w:tcBorders>
              <w:left w:val="single" w:sz="16" w:space="0" w:color="FFFFFF"/>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1,980</w:t>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assets:</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 xml:space="preserve">Property and equipment, including right-of-use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3,724</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3,674</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1,584</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1,539</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non-current assets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5,308</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5,213</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assets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7,396</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7,193</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7"/>
              </w:rPr>
            </w:pPr>
            <w:r>
              <w:rPr>
                <w:rFonts w:ascii="Arial;sans-serif" w:hAnsi="Arial;sans-serif"/>
                <w:b/>
                <w:i/>
                <w:color w:val="000000"/>
                <w:sz w:val="17"/>
              </w:rPr>
              <w:t xml:space="preserve">Liabilities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Loans and borrowings, including leases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475</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451</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Others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2,865</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2,645</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current liabilities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3,339</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3,096</w:t>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Loans and borrowings, including leases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3,588</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3,604</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40"/>
              <w:jc w:val="left"/>
              <w:rPr>
                <w:rFonts w:ascii="Arial;sans-serif" w:hAnsi="Arial;sans-serif"/>
                <w:b w:val="false"/>
                <w:color w:val="000000"/>
                <w:sz w:val="17"/>
              </w:rPr>
            </w:pPr>
            <w:r>
              <w:rPr>
                <w:rFonts w:ascii="Arial;sans-serif" w:hAnsi="Arial;sans-serif"/>
                <w:b w:val="false"/>
                <w:color w:val="000000"/>
                <w:sz w:val="17"/>
              </w:rPr>
              <w:t>Others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1,063</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1,085</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non-current liabilities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4,651</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4,689</w:t>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liabilities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7,991</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7,785</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7"/>
              </w:rPr>
            </w:pPr>
            <w:r>
              <w:rPr>
                <w:rFonts w:ascii="Arial;sans-serif" w:hAnsi="Arial;sans-serif"/>
                <w:b/>
                <w:i/>
                <w:color w:val="000000"/>
                <w:sz w:val="17"/>
              </w:rPr>
              <w:t xml:space="preserve">Equity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color w:val="000000"/>
                <w:sz w:val="17"/>
              </w:rPr>
            </w:pPr>
            <w:r>
              <w:rPr>
                <w:rFonts w:ascii="Arial;sans-serif" w:hAnsi="Arial;sans-serif"/>
                <w:b/>
                <w:color w:val="000000"/>
                <w:sz w:val="17"/>
              </w:rPr>
              <w:t>Total equity (deficit)</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(595)</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(592)</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equity and liabilities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7,396</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7,193</w:t>
            </w:r>
          </w:p>
        </w:tc>
      </w:tr>
      <w:tr>
        <w:trPr/>
        <w:tc>
          <w:tcPr>
            <w:tcW w:w="3849" w:type="dxa"/>
            <w:gridSpan w:val="3"/>
            <w:tcBorders/>
            <w:tcMar>
              <w:top w:w="0" w:type="dxa"/>
              <w:left w:w="0" w:type="dxa"/>
              <w:bottom w:w="0" w:type="dxa"/>
              <w:right w:w="0" w:type="dxa"/>
            </w:tcMar>
            <w:vAlign w:val="center"/>
          </w:tcPr>
          <w:p>
            <w:pPr>
              <w:pStyle w:val="TableContents"/>
              <w:bidi w:val="0"/>
              <w:spacing w:lineRule="auto" w:line="340" w:before="0" w:after="283"/>
              <w:jc w:val="both"/>
              <w:rPr>
                <w:rFonts w:ascii="Times New Roman;serif" w:hAnsi="Times New Roman;serif"/>
                <w:b w:val="false"/>
                <w:i/>
                <w:color w:val="000000"/>
                <w:sz w:val="14"/>
              </w:rPr>
            </w:pPr>
            <w:r>
              <w:rPr>
                <w:rFonts w:ascii="Times New Roman;serif" w:hAnsi="Times New Roman;serif"/>
                <w:b w:val="false"/>
                <w:i/>
                <w:color w:val="000000"/>
                <w:sz w:val="14"/>
              </w:rPr>
              <w:t>Figures may not sum to total due to rounding.</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14960"/>
                <wp:effectExtent l="0" t="0" r="0" b="0"/>
                <wp:wrapNone/>
                <wp:docPr id="22" name="Frame1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2476500" cy="552450"/>
                    </a:xfrm>
                    <a:prstGeom prst="rect">
                      <a:avLst/>
                    </a:prstGeom>
                  </pic:spPr>
                </pic:pic>
              </a:graphicData>
            </a:graphic>
          </wp:inline>
        </w:drawing>
      </w:r>
    </w:p>
    <w:tbl>
      <w:tblPr>
        <w:tblW w:w="8447" w:type="dxa"/>
        <w:jc w:val="left"/>
        <w:tblInd w:w="0" w:type="dxa"/>
        <w:tblLayout w:type="fixed"/>
        <w:tblCellMar>
          <w:top w:w="28" w:type="dxa"/>
          <w:left w:w="28" w:type="dxa"/>
          <w:bottom w:w="28" w:type="dxa"/>
          <w:right w:w="28" w:type="dxa"/>
        </w:tblCellMar>
      </w:tblPr>
      <w:tblGrid>
        <w:gridCol w:w="1884"/>
        <w:gridCol w:w="1653"/>
        <w:gridCol w:w="1653"/>
        <w:gridCol w:w="346"/>
        <w:gridCol w:w="346"/>
        <w:gridCol w:w="346"/>
        <w:gridCol w:w="346"/>
        <w:gridCol w:w="346"/>
        <w:gridCol w:w="346"/>
        <w:gridCol w:w="346"/>
        <w:gridCol w:w="346"/>
        <w:gridCol w:w="489"/>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8447" w:type="dxa"/>
            <w:gridSpan w:val="12"/>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Grupo Aeroméxico, S.A.B. de C.V. and Subsidiaries</w:t>
            </w:r>
          </w:p>
        </w:tc>
      </w:tr>
      <w:tr>
        <w:trPr/>
        <w:tc>
          <w:tcPr>
            <w:tcW w:w="8447" w:type="dxa"/>
            <w:gridSpan w:val="12"/>
            <w:tcBorders/>
            <w:shd w:fill="020C4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Consolidated Statements of Cash Flows (Unaudited)</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(USD Millions)</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 xml:space="preserve">Nine Months Ended September 30 </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2025</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20C41"/>
                <w:sz w:val="17"/>
              </w:rPr>
            </w:pPr>
            <w:r>
              <w:rPr>
                <w:rFonts w:ascii="Arial;sans-serif" w:hAnsi="Arial;sans-serif"/>
                <w:b/>
                <w:color w:val="020C41"/>
                <w:sz w:val="17"/>
              </w:rPr>
              <w:t>Var. ($)</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 from operating activities:</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for the period</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and amortization</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579</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537</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non-cash adjustments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869</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1,051</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current assets &amp; liabilities, net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(483)</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Trade and other receivables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Trade and other payables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Air traffic liability</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Others, net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Interest paid</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from operating activities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542</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568</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 from investing activities:</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 of properties and equipment (including major maintenance)</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investing activities, net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used in investing activities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(270)</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(209)</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 from financing activities:</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Payments of lease liabilities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(304)</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(269)</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 of loans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financing activities, net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used in financing activities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(328)</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(297)</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exchange rate fluctuations on cash held</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increase (decrease) in cash and cash equivalents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(59)</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92</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and cash equivalents:</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At beginning of the period</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842</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At end of the period</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934</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r>
      <w:tr>
        <w:trPr/>
        <w:tc>
          <w:tcPr>
            <w:tcW w:w="84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Figures may not sum to total due to rounding.</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14960"/>
                <wp:effectExtent l="0" t="0" r="0" b="0"/>
                <wp:wrapNone/>
                <wp:docPr id="24" name="Frame1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2476500" cy="552450"/>
                    </a:xfrm>
                    <a:prstGeom prst="rect">
                      <a:avLst/>
                    </a:prstGeom>
                  </pic:spPr>
                </pic:pic>
              </a:graphicData>
            </a:graphic>
          </wp:inline>
        </w:drawing>
      </w:r>
    </w:p>
    <w:p>
      <w:pPr>
        <w:pStyle w:val="TextBody"/>
        <w:bidi w:val="0"/>
        <w:spacing w:lineRule="auto" w:line="340" w:before="0" w:after="160"/>
        <w:jc w:val="center"/>
        <w:rPr>
          <w:rFonts w:ascii="Arial;sans-serif" w:hAnsi="Arial;sans-serif"/>
          <w:b/>
          <w:color w:val="000000"/>
          <w:sz w:val="22"/>
        </w:rPr>
      </w:pPr>
      <w:r>
        <w:rPr>
          <w:rFonts w:ascii="Arial;sans-serif" w:hAnsi="Arial;sans-serif"/>
          <w:b/>
          <w:color w:val="000000"/>
          <w:sz w:val="22"/>
        </w:rPr>
        <w:t>FINANCIAL AND OPERATIONAL INDICATORS</w:t>
      </w:r>
    </w:p>
    <w:tbl>
      <w:tblPr>
        <w:tblW w:w="9539" w:type="dxa"/>
        <w:jc w:val="left"/>
        <w:tblInd w:w="0" w:type="dxa"/>
        <w:tblLayout w:type="fixed"/>
        <w:tblCellMar>
          <w:top w:w="28" w:type="dxa"/>
          <w:left w:w="28" w:type="dxa"/>
          <w:bottom w:w="28" w:type="dxa"/>
          <w:right w:w="28" w:type="dxa"/>
        </w:tblCellMar>
      </w:tblPr>
      <w:tblGrid>
        <w:gridCol w:w="1370"/>
        <w:gridCol w:w="1201"/>
        <w:gridCol w:w="1208"/>
        <w:gridCol w:w="320"/>
        <w:gridCol w:w="320"/>
        <w:gridCol w:w="320"/>
        <w:gridCol w:w="320"/>
        <w:gridCol w:w="320"/>
        <w:gridCol w:w="320"/>
        <w:gridCol w:w="320"/>
        <w:gridCol w:w="320"/>
        <w:gridCol w:w="320"/>
        <w:gridCol w:w="306"/>
        <w:gridCol w:w="306"/>
        <w:gridCol w:w="306"/>
        <w:gridCol w:w="306"/>
        <w:gridCol w:w="306"/>
        <w:gridCol w:w="306"/>
        <w:gridCol w:w="306"/>
        <w:gridCol w:w="306"/>
        <w:gridCol w:w="432"/>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Three Months Ended September 30</w:t>
            </w:r>
          </w:p>
        </w:tc>
        <w:tc>
          <w:tcPr>
            <w:tcW w:w="2880" w:type="dxa"/>
            <w:gridSpan w:val="9"/>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Nine Months Ended September 30 </w:t>
            </w:r>
          </w:p>
        </w:tc>
      </w:tr>
      <w:tr>
        <w:trPr/>
        <w:tc>
          <w:tcPr>
            <w:tcW w:w="3779" w:type="dxa"/>
            <w:gridSpan w:val="3"/>
            <w:tcBorders>
              <w:top w:val="single" w:sz="8" w:space="0" w:color="000000"/>
              <w:left w:val="single" w:sz="8" w:space="0" w:color="000000"/>
            </w:tcBorders>
            <w:shd w:fill="020C41" w:val="clear"/>
            <w:tcMar>
              <w:top w:w="30" w:type="dxa"/>
              <w:left w:w="29"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Financial Indicators</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779" w:type="dxa"/>
            <w:gridSpan w:val="3"/>
            <w:tcBorders>
              <w:left w:val="single" w:sz="8" w:space="0" w:color="000000"/>
            </w:tcBorders>
            <w:tcMar>
              <w:top w:w="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4,440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3,923</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Passenger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3,935</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3,557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Adjusted EBITDAR</w:t>
            </w:r>
            <w:r>
              <w:rPr>
                <w:rFonts w:ascii="Arial;sans-serif" w:hAnsi="Arial;sans-serif"/>
                <w:b w:val="false"/>
                <w:color w:val="000000"/>
                <w:sz w:val="11"/>
              </w:rPr>
              <w:t>(1)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1,171</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r>
      <w:tr>
        <w:trPr/>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Adjusted EBITDAR margin</w:t>
            </w: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(7.6)p.p.</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operating income (loss)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(36.1)%</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margin (% of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(6.9)p.p.</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margin (% of revenue)</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(4.9)p.p.</w:t>
            </w:r>
          </w:p>
        </w:tc>
      </w:tr>
      <w:tr>
        <w:trPr/>
        <w:tc>
          <w:tcPr>
            <w:tcW w:w="3779" w:type="dxa"/>
            <w:gridSpan w:val="3"/>
            <w:tcBorders>
              <w:top w:val="single" w:sz="8" w:space="0" w:color="000000"/>
              <w:left w:val="single" w:sz="8" w:space="0" w:color="000000"/>
            </w:tcBorders>
            <w:shd w:fill="020C41" w:val="clear"/>
            <w:tcMar>
              <w:top w:w="30" w:type="dxa"/>
              <w:left w:w="29"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Operating Indicators</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779" w:type="dxa"/>
            <w:gridSpan w:val="3"/>
            <w:tcBorders>
              <w:left w:val="single" w:sz="8" w:space="0" w:color="000000"/>
            </w:tcBorders>
            <w:tcMar>
              <w:top w:w="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ASMs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9,395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9,277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27,248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27,054</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RPMs (millions)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8,296</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8,184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23,403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23,119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Load factor on scheduled flights (%)</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0.4p.p.</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Passengers ('000)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6,362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17,966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18,419</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On-Time departure performance within 15 min.(%)</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(0.6)p.p.</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91.0%</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(1.0)p.p.</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liters of fuel ('000)</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445,237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453,547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1,300,904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1,319,298</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Yield (USD cents)</w:t>
            </w:r>
            <w:r>
              <w:rPr>
                <w:color w:val="000000"/>
              </w:rPr>
              <w:t xml:space="preserve"> </w:t>
            </w:r>
            <w:r>
              <w:rPr>
                <w:rFonts w:ascii="Arial;sans-serif" w:hAnsi="Arial;sans-serif"/>
                <w:b w:val="false"/>
                <w:color w:val="000000"/>
                <w:sz w:val="11"/>
              </w:rPr>
              <w:t>(2)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revenue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w:t>
            </w:r>
          </w:p>
        </w:tc>
      </w:tr>
      <w:tr>
        <w:trPr/>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Passenger revenue / ASM (USD cents)</w:t>
            </w:r>
            <w:r>
              <w:rPr>
                <w:color w:val="000000"/>
              </w:rPr>
              <w:t xml:space="preserve"> </w:t>
            </w:r>
            <w:r>
              <w:rPr>
                <w:rFonts w:ascii="Arial;sans-serif" w:hAnsi="Arial;sans-serif"/>
                <w:b w:val="false"/>
                <w:color w:val="000000"/>
                <w:sz w:val="11"/>
              </w:rPr>
              <w:t>(2)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cost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w:t>
            </w:r>
          </w:p>
        </w:tc>
      </w:tr>
      <w:tr>
        <w:trPr/>
        <w:tc>
          <w:tcPr>
            <w:tcW w:w="3779"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cost excluding fuel / ASM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r>
      <w:tr>
        <w:trPr/>
        <w:tc>
          <w:tcPr>
            <w:tcW w:w="3779" w:type="dxa"/>
            <w:gridSpan w:val="3"/>
            <w:tcBorders>
              <w:top w:val="single" w:sz="8" w:space="0" w:color="000000"/>
              <w:left w:val="single" w:sz="8" w:space="0" w:color="000000"/>
            </w:tcBorders>
            <w:shd w:fill="020C41" w:val="clear"/>
            <w:tcMar>
              <w:top w:w="30" w:type="dxa"/>
              <w:left w:w="29"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Other Indicators</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3779" w:type="dxa"/>
            <w:gridSpan w:val="3"/>
            <w:tcBorders>
              <w:left w:val="single" w:sz="8" w:space="0" w:color="000000"/>
            </w:tcBorders>
            <w:tcMar>
              <w:top w:w="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cost per gallon (USD cents)</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2.48</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2.46</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50.8%</w:t>
            </w:r>
          </w:p>
        </w:tc>
      </w:tr>
      <w:tr>
        <w:trPr/>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FX close</w:t>
            </w:r>
            <w:r>
              <w:rPr>
                <w:rFonts w:ascii="Arial;sans-serif" w:hAnsi="Arial;sans-serif"/>
                <w:b w:val="false"/>
                <w:color w:val="000000"/>
                <w:sz w:val="11"/>
              </w:rPr>
              <w:t>(3)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18.38</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18.38</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r>
      <w:tr>
        <w:trPr/>
        <w:tc>
          <w:tcPr>
            <w:tcW w:w="37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FX average</w:t>
            </w:r>
            <w:r>
              <w:rPr>
                <w:rFonts w:ascii="Arial;sans-serif" w:hAnsi="Arial;sans-serif"/>
                <w:b w:val="false"/>
                <w:color w:val="000000"/>
                <w:sz w:val="11"/>
              </w:rPr>
              <w:t>(3)</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17.22</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18.67</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17.40</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19.57</w:t>
            </w:r>
          </w:p>
        </w:tc>
        <w:tc>
          <w:tcPr>
            <w:tcW w:w="10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r>
      <w:tr>
        <w:trPr/>
        <w:tc>
          <w:tcPr>
            <w:tcW w:w="9539" w:type="dxa"/>
            <w:gridSpan w:val="21"/>
            <w:tcBorders/>
            <w:tcMar>
              <w:top w:w="0" w:type="dxa"/>
              <w:left w:w="0" w:type="dxa"/>
              <w:bottom w:w="0" w:type="dxa"/>
              <w:right w:w="0" w:type="dxa"/>
            </w:tcMar>
            <w:vAlign w:val="center"/>
          </w:tcPr>
          <w:p>
            <w:pPr>
              <w:pStyle w:val="TableContents"/>
              <w:bidi w:val="0"/>
              <w:spacing w:lineRule="auto" w:line="340" w:before="0" w:after="0"/>
              <w:jc w:val="left"/>
              <w:rPr>
                <w:rFonts w:ascii="Arial;sans-serif" w:hAnsi="Arial;sans-serif"/>
                <w:b w:val="false"/>
                <w:i/>
                <w:color w:val="000000"/>
                <w:sz w:val="17"/>
              </w:rPr>
            </w:pPr>
            <w:r>
              <w:rPr>
                <w:rFonts w:ascii="Arial;sans-serif" w:hAnsi="Arial;sans-serif"/>
                <w:b w:val="false"/>
                <w:i/>
                <w:color w:val="000000"/>
                <w:sz w:val="17"/>
              </w:rPr>
              <w:t>Figures may not sum to total due to rounding.</w:t>
            </w:r>
          </w:p>
          <w:p>
            <w:pPr>
              <w:pStyle w:val="TableContents"/>
              <w:bidi w:val="0"/>
              <w:spacing w:lineRule="auto" w:line="340" w:before="0" w:after="0"/>
              <w:jc w:val="left"/>
              <w:rPr>
                <w:rFonts w:ascii="Arial;sans-serif" w:hAnsi="Arial;sans-serif"/>
                <w:b w:val="false"/>
                <w:i/>
                <w:color w:val="000000"/>
                <w:sz w:val="17"/>
              </w:rPr>
            </w:pPr>
            <w:r>
              <w:rPr>
                <w:rFonts w:ascii="Arial;sans-serif" w:hAnsi="Arial;sans-serif"/>
                <w:b w:val="false"/>
                <w:i/>
                <w:color w:val="000000"/>
                <w:sz w:val="17"/>
              </w:rPr>
              <w:t>1) See Annex A for the definition of Aeroméxico’s non-IFRS measures and a reconciliation to the nearest IFRS measure.</w:t>
            </w:r>
          </w:p>
          <w:p>
            <w:pPr>
              <w:pStyle w:val="TableContents"/>
              <w:bidi w:val="0"/>
              <w:spacing w:lineRule="auto" w:line="340" w:before="0" w:after="0"/>
              <w:jc w:val="left"/>
              <w:rPr>
                <w:rFonts w:ascii="Arial;sans-serif" w:hAnsi="Arial;sans-serif"/>
                <w:b w:val="false"/>
                <w:i/>
                <w:color w:val="000000"/>
                <w:sz w:val="17"/>
              </w:rPr>
            </w:pPr>
            <w:r>
              <w:rPr>
                <w:rFonts w:ascii="Arial;sans-serif" w:hAnsi="Arial;sans-serif"/>
                <w:b w:val="false"/>
                <w:i/>
                <w:color w:val="000000"/>
                <w:sz w:val="17"/>
              </w:rPr>
              <w:t>2) Estimated as passenger revenues (excluding ancillaries) divided by total RPMs.</w:t>
            </w:r>
          </w:p>
          <w:p>
            <w:pPr>
              <w:pStyle w:val="TableContents"/>
              <w:bidi w:val="0"/>
              <w:spacing w:lineRule="auto" w:line="340" w:before="0" w:after="0"/>
              <w:jc w:val="left"/>
              <w:rPr>
                <w:rFonts w:ascii="Arial;sans-serif" w:hAnsi="Arial;sans-serif"/>
                <w:b w:val="false"/>
                <w:i/>
                <w:color w:val="000000"/>
                <w:sz w:val="17"/>
              </w:rPr>
            </w:pPr>
            <w:r>
              <w:rPr>
                <w:rFonts w:ascii="Arial;sans-serif" w:hAnsi="Arial;sans-serif"/>
                <w:b w:val="false"/>
                <w:i/>
                <w:color w:val="000000"/>
                <w:sz w:val="17"/>
              </w:rPr>
              <w:t>3) Source: Company with information from Banxico.</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14960"/>
                <wp:effectExtent l="0" t="0" r="0" b="0"/>
                <wp:wrapNone/>
                <wp:docPr id="26" name="Frame1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2476500" cy="5524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Annex A on Non-IFRS Financial Measures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disclosing financial results prepared in accordance with IFRS, the Company discloses information regarding Adjusted EBITDAR, Adjusted EBITDAR Margin, Adjusted Net Debt and Net Leverage Ratio, which are non-IFRS measures. The Company believes that these measures are useful indicators of its operational performance. These known performance measurements in the aviation industry are frequently used by investors, stock analysts and others who are interested in comparing the operational performance of companies in their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defines Adjusted EBITDAR as profit or loss for the period before income tax expense (benefit), depreciation and amortization, net finance cost, and impairment (reversal), before aircraft leasing expense, in light of the non-recurring nature of this item. The Company considers Adjusted EBITDAR to be solely a valuation metric, not a performance metric. The Company defines Adjusted EBITDAR Margin as Adjusted EBITDAR divided by total revenue for the period. The Company defines Adjusted Net Debt as total loan and borrowings, including leases, minus cash and cash equivalents. The Company defines Net Leverage Ratio as Adjusted Net Debt Ratio divided by Adjusted EBITDAR for the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of the above-mentioned non-IFRS financial measures have limitations as analytical tools, and you should not consider them in isolation, or as a substitute for analysis of the Company’s results as reported under IFRS. Some of these limitations are: (i) they do not reflect the Company’s cash expenditures, or future requirements for capital expenditures or contractual commitments; (ii) they do not reflect changes in, or cash requirements for, its working capital needs; (iii) they do not reflect the Company’s cash requirements necessary to service interest or principal payments on the Company’s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the Company’s consolidated statements of profit or loss and other comprehensive income; (vi) they do not reflect the impact of all non-recurring items; and (vii) other companies in the Company’s industry may calculate these measures, or similarly titled measures, differently than the Company does, limiting their usefulness as comparative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Reconciliations of each of these historical measures, and to the extent applicable, forward-looking measures to the most directly comparable IFRS measure are below. No reconciliation of the forecasted amounts of Adjusted EBITDAR Margin, as incrementally adjusted, for fiscal 2026 is included in this release because we are unable to quantify certain amounts that would be required to be included in the corresponding IFRS measure without unreasonable efforts, due to high variability and complexity with respect to estimating certain forward-looking amounts, and we believe such reconciliation would imply a degree of precision that would be confusing or misleading to investors.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14960"/>
                <wp:effectExtent l="0" t="0" r="0" b="0"/>
                <wp:wrapNone/>
                <wp:docPr id="28" name="Frame1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w:t>
                      </w:r>
                    </w:p>
                    <w:p>
                      <w:pPr>
                        <w:pStyle w:val="TextBody"/>
                        <w:bidi w:val="0"/>
                        <w:spacing w:before="0" w:after="0"/>
                        <w:jc w:val="both"/>
                        <w:rPr/>
                      </w:pPr>
                      <w:r>
                        <w:rPr/>
                      </w:r>
                    </w:p>
                  </w:txbxContent>
                </v:textbox>
                <w10:wrap type="none"/>
              </v:rect>
            </w:pict>
          </mc:Fallback>
        </mc:AlternateContent>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40" w:before="0" w:after="0"/>
              <w:jc w:val="right"/>
              <w:rPr>
                <w:rFonts w:ascii="Arial;sans-serif" w:hAnsi="Arial;sans-serif"/>
                <w:b/>
                <w:color w:val="000000"/>
                <w:sz w:val="36"/>
              </w:rPr>
            </w:pPr>
            <w:r>
              <w:rPr>
                <w:rFonts w:ascii="Arial;sans-serif" w:hAnsi="Arial;sans-serif"/>
                <w:b/>
                <w:color w:val="000000"/>
                <w:sz w:val="36"/>
              </w:rPr>
              <w:t>3Q26 RESULTS</w:t>
            </w:r>
          </w:p>
        </w:tc>
      </w:tr>
    </w:tbl>
    <w:p>
      <w:pPr>
        <w:pStyle w:val="TextBody"/>
        <w:bidi w:val="0"/>
        <w:spacing w:before="0" w:after="0"/>
        <w:jc w:val="center"/>
        <w:rPr/>
      </w:pPr>
      <w:r>
        <w:rPr/>
        <w:drawing>
          <wp:inline distT="0" distB="0" distL="0" distR="0">
            <wp:extent cx="2476500" cy="5524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2476500" cy="552450"/>
                    </a:xfrm>
                    <a:prstGeom prst="rect">
                      <a:avLst/>
                    </a:prstGeom>
                  </pic:spPr>
                </pic:pic>
              </a:graphicData>
            </a:graphic>
          </wp:inline>
        </w:drawing>
      </w:r>
    </w:p>
    <w:p>
      <w:pPr>
        <w:pStyle w:val="TextBody"/>
        <w:bidi w:val="0"/>
        <w:spacing w:before="0" w:after="0"/>
        <w:jc w:val="both"/>
        <w:rPr/>
      </w:pPr>
      <w:r>
        <w:rPr/>
      </w:r>
    </w:p>
    <w:tbl>
      <w:tblPr>
        <w:tblW w:w="8614" w:type="dxa"/>
        <w:jc w:val="left"/>
        <w:tblInd w:w="0" w:type="dxa"/>
        <w:tblLayout w:type="fixed"/>
        <w:tblCellMar>
          <w:top w:w="28" w:type="dxa"/>
          <w:left w:w="28" w:type="dxa"/>
          <w:bottom w:w="28" w:type="dxa"/>
          <w:right w:w="28" w:type="dxa"/>
        </w:tblCellMar>
      </w:tblPr>
      <w:tblGrid>
        <w:gridCol w:w="1034"/>
        <w:gridCol w:w="908"/>
        <w:gridCol w:w="912"/>
        <w:gridCol w:w="320"/>
        <w:gridCol w:w="320"/>
        <w:gridCol w:w="320"/>
        <w:gridCol w:w="320"/>
        <w:gridCol w:w="320"/>
        <w:gridCol w:w="320"/>
        <w:gridCol w:w="320"/>
        <w:gridCol w:w="320"/>
        <w:gridCol w:w="320"/>
        <w:gridCol w:w="306"/>
        <w:gridCol w:w="306"/>
        <w:gridCol w:w="306"/>
        <w:gridCol w:w="306"/>
        <w:gridCol w:w="306"/>
        <w:gridCol w:w="306"/>
        <w:gridCol w:w="306"/>
        <w:gridCol w:w="306"/>
        <w:gridCol w:w="432"/>
      </w:tblGrid>
      <w:tr>
        <w:trPr/>
        <w:tc>
          <w:tcPr>
            <w:tcW w:w="103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right w:val="single" w:sz="8" w:space="0" w:color="000000"/>
            </w:tcBorders>
            <w:shd w:fill="020C41"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Three Months Ended September 30</w:t>
            </w:r>
          </w:p>
        </w:tc>
        <w:tc>
          <w:tcPr>
            <w:tcW w:w="2880" w:type="dxa"/>
            <w:gridSpan w:val="9"/>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Nine Months Ended September 30 </w:t>
            </w:r>
          </w:p>
        </w:tc>
      </w:tr>
      <w:tr>
        <w:trPr/>
        <w:tc>
          <w:tcPr>
            <w:tcW w:w="2854" w:type="dxa"/>
            <w:gridSpan w:val="3"/>
            <w:tcBorders>
              <w:top w:val="single" w:sz="8" w:space="0" w:color="000000"/>
              <w:left w:val="single" w:sz="8" w:space="0" w:color="000000"/>
            </w:tcBorders>
            <w:shd w:fill="020C41" w:val="clear"/>
            <w:tcMar>
              <w:top w:w="30" w:type="dxa"/>
              <w:left w:w="29"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Adjusted EBITDAR reconciliation</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960"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918"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104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Var.</w:t>
            </w:r>
          </w:p>
        </w:tc>
      </w:tr>
      <w:tr>
        <w:trPr/>
        <w:tc>
          <w:tcPr>
            <w:tcW w:w="2854"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Profit (loss) for the period</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854"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 Income tax expense (benefit)</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(70.4)%</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170"/>
              <w:jc w:val="left"/>
              <w:rPr/>
            </w:pPr>
            <w:r>
              <w:rPr>
                <w:rFonts w:ascii="Arial;sans-serif" w:hAnsi="Arial;sans-serif"/>
                <w:b w:val="false"/>
                <w:color w:val="000000"/>
                <w:sz w:val="17"/>
              </w:rPr>
              <w:t>(+) Depreciation and amortization</w:t>
            </w:r>
            <w:r>
              <w:rPr>
                <w:rFonts w:ascii="Arial;sans-serif" w:hAnsi="Arial;sans-serif"/>
                <w:b w:val="false"/>
                <w:color w:val="000000"/>
                <w:sz w:val="11"/>
              </w:rPr>
              <w:t xml:space="preserve">(1) </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196</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579</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537</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r>
      <w:tr>
        <w:trPr/>
        <w:tc>
          <w:tcPr>
            <w:tcW w:w="2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val="false"/>
                <w:color w:val="000000"/>
                <w:sz w:val="17"/>
              </w:rPr>
            </w:pPr>
            <w:r>
              <w:rPr>
                <w:rFonts w:ascii="Arial;sans-serif" w:hAnsi="Arial;sans-serif"/>
                <w:b w:val="false"/>
                <w:color w:val="000000"/>
                <w:sz w:val="17"/>
              </w:rPr>
              <w:t xml:space="preserve">(+) Net finance cost </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391</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2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val="false"/>
                <w:color w:val="000000"/>
                <w:sz w:val="17"/>
              </w:rPr>
            </w:pPr>
            <w:r>
              <w:rPr>
                <w:rFonts w:ascii="Arial;sans-serif" w:hAnsi="Arial;sans-serif"/>
                <w:b w:val="false"/>
                <w:color w:val="000000"/>
                <w:sz w:val="17"/>
              </w:rPr>
              <w:t>(+) Impairment (reversal)</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2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170"/>
              <w:jc w:val="left"/>
              <w:rPr/>
            </w:pPr>
            <w:r>
              <w:rPr>
                <w:rFonts w:ascii="Arial;sans-serif" w:hAnsi="Arial;sans-serif"/>
                <w:b w:val="false"/>
                <w:color w:val="000000"/>
                <w:sz w:val="17"/>
              </w:rPr>
              <w:t>(+) Aircraft leasing</w:t>
            </w:r>
            <w:r>
              <w:rPr>
                <w:rFonts w:ascii="Arial;sans-serif" w:hAnsi="Arial;sans-serif"/>
                <w:b w:val="false"/>
                <w:color w:val="000000"/>
                <w:sz w:val="11"/>
              </w:rPr>
              <w:t>(2)</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9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r>
      <w:tr>
        <w:trPr/>
        <w:tc>
          <w:tcPr>
            <w:tcW w:w="28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color w:val="000000"/>
                <w:sz w:val="17"/>
              </w:rPr>
              <w:t>Adjusted EBITDAR</w:t>
            </w:r>
            <w:r>
              <w:rPr>
                <w:rFonts w:ascii="Arial;sans-serif" w:hAnsi="Arial;sans-serif"/>
                <w:b/>
                <w:color w:val="000000"/>
                <w:sz w:val="11"/>
              </w:rPr>
              <w:t>(3)</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389</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442</w:t>
            </w:r>
          </w:p>
        </w:tc>
        <w:tc>
          <w:tcPr>
            <w:tcW w:w="9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(11.9)%</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989</w:t>
            </w:r>
          </w:p>
        </w:tc>
        <w:tc>
          <w:tcPr>
            <w:tcW w:w="9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1,171</w:t>
            </w:r>
          </w:p>
        </w:tc>
        <w:tc>
          <w:tcPr>
            <w:tcW w:w="10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(15.5)%</w:t>
            </w:r>
          </w:p>
        </w:tc>
      </w:tr>
    </w:tbl>
    <w:p>
      <w:pPr>
        <w:pStyle w:val="TextBody"/>
        <w:bidi w:val="0"/>
        <w:spacing w:lineRule="auto" w:line="340" w:before="0" w:after="0"/>
        <w:jc w:val="left"/>
        <w:rPr>
          <w:rFonts w:ascii="Arial;sans-serif" w:hAnsi="Arial;sans-serif"/>
          <w:b w:val="false"/>
          <w:i/>
          <w:color w:val="000000"/>
          <w:sz w:val="14"/>
        </w:rPr>
      </w:pPr>
      <w:r>
        <w:rPr>
          <w:rFonts w:ascii="Arial;sans-serif" w:hAnsi="Arial;sans-serif"/>
          <w:b w:val="false"/>
          <w:i/>
          <w:color w:val="000000"/>
          <w:sz w:val="14"/>
        </w:rPr>
        <w:t>Figures may not sum to total due to rounding.</w:t>
      </w:r>
    </w:p>
    <w:p>
      <w:pPr>
        <w:pStyle w:val="TextBody"/>
        <w:bidi w:val="0"/>
        <w:spacing w:lineRule="auto" w:line="340" w:before="0" w:after="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 xml:space="preserve">Depreciation and amortization expense as presented in our profit or loss. </w:t>
        <w:br/>
      </w:r>
      <w:r>
        <w:rPr>
          <w:rFonts w:ascii="Arial;sans-serif" w:hAnsi="Arial;sans-serif"/>
          <w:b w:val="false"/>
          <w:i/>
          <w:color w:val="000000"/>
          <w:sz w:val="9"/>
        </w:rPr>
        <w:t>2)</w:t>
      </w:r>
      <w:r>
        <w:rPr>
          <w:color w:val="000000"/>
        </w:rPr>
        <w:t xml:space="preserve"> </w:t>
      </w:r>
      <w:r>
        <w:rPr>
          <w:rFonts w:ascii="Arial;sans-serif" w:hAnsi="Arial;sans-serif"/>
          <w:b w:val="false"/>
          <w:i/>
          <w:color w:val="000000"/>
          <w:sz w:val="14"/>
        </w:rPr>
        <w:t>Aircraft leasing is comprised of short-term rentals of flight equipment, including subject to PBH period.</w:t>
        <w:br/>
      </w: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Adjusted EBITDAR is a non-IFRS measure and has limitations as analytical tools, and you should not consider them in isolation, or as a substitute for analysis of the Company’s results as reported under IFRS.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7513" w:type="dxa"/>
        <w:jc w:val="left"/>
        <w:tblInd w:w="0" w:type="dxa"/>
        <w:tblLayout w:type="fixed"/>
        <w:tblCellMar>
          <w:top w:w="28" w:type="dxa"/>
          <w:left w:w="28" w:type="dxa"/>
          <w:bottom w:w="28" w:type="dxa"/>
          <w:right w:w="28" w:type="dxa"/>
        </w:tblCellMar>
      </w:tblPr>
      <w:tblGrid>
        <w:gridCol w:w="1206"/>
        <w:gridCol w:w="1059"/>
        <w:gridCol w:w="1065"/>
        <w:gridCol w:w="699"/>
        <w:gridCol w:w="699"/>
        <w:gridCol w:w="701"/>
        <w:gridCol w:w="610"/>
        <w:gridCol w:w="610"/>
        <w:gridCol w:w="86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left w:val="single" w:sz="8" w:space="0" w:color="000000"/>
            </w:tcBorders>
            <w:shd w:fill="020C41" w:val="clear"/>
            <w:tcMar>
              <w:top w:w="30" w:type="dxa"/>
              <w:left w:w="29"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7"/>
              </w:rPr>
            </w:pPr>
            <w:r>
              <w:rPr>
                <w:rFonts w:ascii="Arial;sans-serif" w:hAnsi="Arial;sans-serif"/>
                <w:b/>
                <w:color w:val="FFFFFF"/>
                <w:sz w:val="17"/>
              </w:rPr>
              <w:t>Adjusted net debt reconciliation</w:t>
            </w:r>
          </w:p>
        </w:tc>
        <w:tc>
          <w:tcPr>
            <w:tcW w:w="2099"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As of September 30, 2026</w:t>
            </w:r>
          </w:p>
        </w:tc>
        <w:tc>
          <w:tcPr>
            <w:tcW w:w="208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As of December 31, 2025</w:t>
            </w:r>
          </w:p>
        </w:tc>
      </w:tr>
      <w:tr>
        <w:trPr/>
        <w:tc>
          <w:tcPr>
            <w:tcW w:w="3330" w:type="dxa"/>
            <w:gridSpan w:val="3"/>
            <w:tcBorders>
              <w:top w:val="single" w:sz="8" w:space="0" w:color="000000"/>
              <w:left w:val="single" w:sz="8" w:space="0" w:color="000000"/>
            </w:tcBorders>
            <w:tcMar>
              <w:top w:w="30" w:type="dxa"/>
              <w:left w:w="3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loans and borrowings, including leases</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4,063</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4,055</w:t>
            </w:r>
          </w:p>
        </w:tc>
      </w:tr>
      <w:tr>
        <w:trPr/>
        <w:tc>
          <w:tcPr>
            <w:tcW w:w="3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170"/>
              <w:jc w:val="left"/>
              <w:rPr>
                <w:rFonts w:ascii="Arial;sans-serif" w:hAnsi="Arial;sans-serif"/>
                <w:b w:val="false"/>
                <w:color w:val="000000"/>
                <w:sz w:val="17"/>
              </w:rPr>
            </w:pPr>
            <w:r>
              <w:rPr>
                <w:rFonts w:ascii="Arial;sans-serif" w:hAnsi="Arial;sans-serif"/>
                <w:b w:val="false"/>
                <w:color w:val="000000"/>
                <w:sz w:val="17"/>
              </w:rPr>
              <w:t>(-) Cash and cash equivalents</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965</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w:t>
            </w:r>
          </w:p>
        </w:tc>
      </w:tr>
      <w:tr>
        <w:trPr/>
        <w:tc>
          <w:tcPr>
            <w:tcW w:w="33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net debt</w:t>
            </w:r>
            <w:r>
              <w:rPr>
                <w:rFonts w:ascii="Arial;sans-serif" w:hAnsi="Arial;sans-serif"/>
                <w:b/>
                <w:color w:val="000000"/>
                <w:sz w:val="11"/>
              </w:rPr>
              <w:t>(1)</w:t>
            </w:r>
          </w:p>
        </w:tc>
        <w:tc>
          <w:tcPr>
            <w:tcW w:w="2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3,098</w:t>
            </w:r>
          </w:p>
        </w:tc>
        <w:tc>
          <w:tcPr>
            <w:tcW w:w="20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3,031</w:t>
            </w:r>
          </w:p>
        </w:tc>
      </w:tr>
    </w:tbl>
    <w:p>
      <w:pPr>
        <w:pStyle w:val="TextBody"/>
        <w:bidi w:val="0"/>
        <w:spacing w:lineRule="auto" w:line="340" w:before="0" w:after="0"/>
        <w:jc w:val="left"/>
        <w:rPr>
          <w:rFonts w:ascii="Arial;sans-serif" w:hAnsi="Arial;sans-serif"/>
          <w:b w:val="false"/>
          <w:i/>
          <w:color w:val="000000"/>
          <w:sz w:val="14"/>
        </w:rPr>
      </w:pPr>
      <w:r>
        <w:rPr>
          <w:rFonts w:ascii="Arial;sans-serif" w:hAnsi="Arial;sans-serif"/>
          <w:b w:val="false"/>
          <w:i/>
          <w:color w:val="000000"/>
          <w:sz w:val="14"/>
        </w:rPr>
        <w:t>Figures may not sum to total due to rounding.</w:t>
      </w:r>
    </w:p>
    <w:p>
      <w:pPr>
        <w:pStyle w:val="TextBody"/>
        <w:bidi w:val="0"/>
        <w:spacing w:lineRule="auto" w:line="340" w:before="0" w:after="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Adjusted Net Debt is a non-IFRS measure and has limitations as an analytical tool, and you should not consider it in isolation, or as a substitute for analysis of the Company’s results as reported under IFRS.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082" w:type="dxa"/>
        <w:jc w:val="left"/>
        <w:tblInd w:w="0" w:type="dxa"/>
        <w:tblLayout w:type="fixed"/>
        <w:tblCellMar>
          <w:top w:w="28" w:type="dxa"/>
          <w:left w:w="28" w:type="dxa"/>
          <w:bottom w:w="28" w:type="dxa"/>
          <w:right w:w="28" w:type="dxa"/>
        </w:tblCellMar>
      </w:tblPr>
      <w:tblGrid>
        <w:gridCol w:w="1412"/>
        <w:gridCol w:w="1240"/>
        <w:gridCol w:w="1247"/>
        <w:gridCol w:w="699"/>
        <w:gridCol w:w="699"/>
        <w:gridCol w:w="701"/>
        <w:gridCol w:w="610"/>
        <w:gridCol w:w="610"/>
        <w:gridCol w:w="864"/>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7"/>
              </w:rPr>
              <w:t xml:space="preserve">Net leverage ratio reconciliation </w:t>
              <w:br/>
            </w:r>
            <w:r>
              <w:rPr>
                <w:rFonts w:ascii="Arial;sans-serif" w:hAnsi="Arial;sans-serif"/>
                <w:b/>
                <w:color w:val="FFFFFF"/>
                <w:sz w:val="14"/>
              </w:rPr>
              <w:t>(Adjusted net debt / Last twelve months adjusted EBITDAR)</w:t>
            </w:r>
          </w:p>
        </w:tc>
        <w:tc>
          <w:tcPr>
            <w:tcW w:w="2099" w:type="dxa"/>
            <w:gridSpan w:val="3"/>
            <w:tcBorders>
              <w:top w:val="single" w:sz="8" w:space="0" w:color="000000"/>
              <w:left w:val="single" w:sz="8" w:space="0" w:color="000000"/>
            </w:tcBorders>
            <w:shd w:fill="020C4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As of September 30, 2026</w:t>
            </w:r>
          </w:p>
        </w:tc>
        <w:tc>
          <w:tcPr>
            <w:tcW w:w="2084" w:type="dxa"/>
            <w:gridSpan w:val="3"/>
            <w:tcBorders>
              <w:top w:val="single" w:sz="8" w:space="0" w:color="000000"/>
              <w:left w:val="single" w:sz="8" w:space="0" w:color="000000"/>
              <w:right w:val="single" w:sz="8" w:space="0" w:color="000000"/>
            </w:tcBorders>
            <w:shd w:fill="020C41"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As of December 31, 2025</w:t>
            </w:r>
          </w:p>
        </w:tc>
      </w:tr>
      <w:tr>
        <w:trPr/>
        <w:tc>
          <w:tcPr>
            <w:tcW w:w="389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Adjusted net debt</w:t>
            </w:r>
            <w:r>
              <w:rPr>
                <w:color w:val="000000"/>
              </w:rPr>
              <w:t xml:space="preserve"> </w:t>
            </w:r>
            <w:r>
              <w:rPr>
                <w:rFonts w:ascii="Arial;sans-serif" w:hAnsi="Arial;sans-serif"/>
                <w:b w:val="false"/>
                <w:color w:val="000000"/>
                <w:sz w:val="11"/>
              </w:rPr>
              <w:t>(1)</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3,098</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3,031</w:t>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Last twelve months adjusted EBITDAR</w:t>
            </w:r>
            <w:r>
              <w:rPr>
                <w:color w:val="000000"/>
              </w:rPr>
              <w:t xml:space="preserve"> </w:t>
            </w:r>
            <w:r>
              <w:rPr>
                <w:rFonts w:ascii="Arial;sans-serif" w:hAnsi="Arial;sans-serif"/>
                <w:b w:val="false"/>
                <w:color w:val="000000"/>
                <w:sz w:val="11"/>
              </w:rPr>
              <w:t>(1)</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1,491</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1,672</w:t>
            </w:r>
          </w:p>
        </w:tc>
      </w:tr>
      <w:tr>
        <w:trPr/>
        <w:tc>
          <w:tcPr>
            <w:tcW w:w="38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7"/>
              </w:rPr>
              <w:t>Net leverage ratio</w:t>
            </w:r>
            <w:r>
              <w:rPr>
                <w:rFonts w:ascii="Arial;sans-serif" w:hAnsi="Arial;sans-serif"/>
                <w:b/>
                <w:color w:val="000000"/>
                <w:sz w:val="11"/>
              </w:rPr>
              <w:t>(1)</w:t>
            </w:r>
          </w:p>
        </w:tc>
        <w:tc>
          <w:tcPr>
            <w:tcW w:w="2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2.1x</w:t>
            </w:r>
          </w:p>
        </w:tc>
        <w:tc>
          <w:tcPr>
            <w:tcW w:w="20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1.8x</w:t>
            </w:r>
          </w:p>
        </w:tc>
      </w:tr>
    </w:tbl>
    <w:p>
      <w:pPr>
        <w:pStyle w:val="TextBody"/>
        <w:bidi w:val="0"/>
        <w:spacing w:lineRule="auto" w:line="340" w:before="0" w:after="0"/>
        <w:jc w:val="left"/>
        <w:rPr>
          <w:rFonts w:ascii="Arial;sans-serif" w:hAnsi="Arial;sans-serif"/>
          <w:b w:val="false"/>
          <w:i/>
          <w:color w:val="000000"/>
          <w:sz w:val="14"/>
        </w:rPr>
      </w:pPr>
      <w:r>
        <w:rPr>
          <w:rFonts w:ascii="Arial;sans-serif" w:hAnsi="Arial;sans-serif"/>
          <w:b w:val="false"/>
          <w:i/>
          <w:color w:val="000000"/>
          <w:sz w:val="14"/>
        </w:rPr>
        <w:t>Figures may not sum to total due to rounding.</w:t>
      </w:r>
    </w:p>
    <w:p>
      <w:pPr>
        <w:pStyle w:val="TextBody"/>
        <w:bidi w:val="0"/>
        <w:spacing w:lineRule="auto" w:line="340" w:before="0" w:after="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Adjusted Net Debt, Adjusted EBITDAR and Net Leverage Ratio are non-IFRS measures and have limitations as analytical tools, and you should not consider them in isolation, or as a substitute for analysis of the Company’s results as reported under IFRS.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14960"/>
                <wp:effectExtent l="0" t="0" r="0" b="0"/>
                <wp:wrapNone/>
                <wp:docPr id="30" name="Frame1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00"/>
        <w:jc w:val="left"/>
        <w:rPr>
          <w:color w:val="404040"/>
        </w:rPr>
      </w:pPr>
      <w:r>
        <w:rPr>
          <w:color w:val="404040"/>
        </w:rPr>
        <w:t>    </w:t>
      </w:r>
    </w:p>
    <w:tbl>
      <w:tblPr>
        <w:tblW w:w="7009" w:type="dxa"/>
        <w:jc w:val="left"/>
        <w:tblInd w:w="0" w:type="dxa"/>
        <w:tblLayout w:type="fixed"/>
        <w:tblCellMar>
          <w:top w:w="28" w:type="dxa"/>
          <w:left w:w="28" w:type="dxa"/>
          <w:bottom w:w="28" w:type="dxa"/>
          <w:right w:w="28" w:type="dxa"/>
        </w:tblCellMar>
      </w:tblPr>
      <w:tblGrid>
        <w:gridCol w:w="124"/>
        <w:gridCol w:w="109"/>
        <w:gridCol w:w="109"/>
        <w:gridCol w:w="2018"/>
        <w:gridCol w:w="2018"/>
        <w:gridCol w:w="2020"/>
        <w:gridCol w:w="179"/>
        <w:gridCol w:w="179"/>
        <w:gridCol w:w="2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3790950" cy="9525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3790950" cy="952500"/>
                          </a:xfrm>
                          <a:prstGeom prst="rect">
                            <a:avLst/>
                          </a:prstGeom>
                        </pic:spPr>
                      </pic:pic>
                    </a:graphicData>
                  </a:graphic>
                </wp:inline>
              </w:drawing>
            </w:r>
          </w:p>
        </w:tc>
        <w:tc>
          <w:tcPr>
            <w:tcW w:w="611" w:type="dxa"/>
            <w:gridSpan w:val="3"/>
            <w:tcBorders/>
            <w:tcMar>
              <w:top w:w="0" w:type="dxa"/>
              <w:left w:w="0" w:type="dxa"/>
              <w:bottom w:w="0" w:type="dxa"/>
              <w:right w:w="0" w:type="dxa"/>
            </w:tcMar>
            <w:vAlign w:val="center"/>
          </w:tcPr>
          <w:p>
            <w:pPr>
              <w:pStyle w:val="TableContents"/>
              <w:bidi w:val="0"/>
              <w:spacing w:before="0" w:after="200"/>
              <w:jc w:val="right"/>
              <w:rPr/>
            </w:pPr>
            <w:r>
              <w:rPr/>
              <w:drawing>
                <wp:inline distT="0" distB="0" distL="0" distR="0">
                  <wp:extent cx="304800" cy="10668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304800" cy="1066800"/>
                          </a:xfrm>
                          <a:prstGeom prst="rect">
                            <a:avLst/>
                          </a:prstGeom>
                        </pic:spPr>
                      </pic:pic>
                    </a:graphicData>
                  </a:graphic>
                </wp:inline>
              </w:drawing>
            </w:r>
          </w:p>
        </w:tc>
      </w:tr>
    </w:tbl>
    <w:p>
      <w:pPr>
        <w:pStyle w:val="TextBody"/>
        <w:bidi w:val="0"/>
        <w:spacing w:lineRule="auto" w:line="288" w:before="0" w:after="0"/>
        <w:jc w:val="left"/>
        <w:rPr>
          <w:rFonts w:ascii="Arial;sans-serif" w:hAnsi="Arial;sans-serif"/>
          <w:b/>
          <w:color w:val="020C41"/>
          <w:sz w:val="24"/>
        </w:rPr>
      </w:pPr>
      <w:r>
        <w:rPr>
          <w:rFonts w:ascii="Arial;sans-serif" w:hAnsi="Arial;sans-serif"/>
          <w:b/>
          <w:color w:val="020C41"/>
          <w:sz w:val="24"/>
        </w:rPr>
        <w:t>Aeroméxico July 2026 Traffic Results</w:t>
      </w:r>
    </w:p>
    <w:p>
      <w:pPr>
        <w:pStyle w:val="TextBody"/>
        <w:bidi w:val="0"/>
        <w:spacing w:before="0" w:after="0"/>
        <w:jc w:val="center"/>
        <w:rPr/>
      </w:pPr>
      <w:r>
        <w:rPr/>
      </w:r>
    </w:p>
    <w:p>
      <w:pPr>
        <w:pStyle w:val="TextBody"/>
        <w:bidi w:val="0"/>
        <w:spacing w:lineRule="auto" w:line="276" w:before="0" w:after="200"/>
        <w:jc w:val="both"/>
        <w:rPr/>
      </w:pPr>
      <w:r>
        <w:rPr>
          <w:rFonts w:ascii="Arial;sans-serif" w:hAnsi="Arial;sans-serif"/>
          <w:b/>
          <w:color w:val="020C41"/>
          <w:sz w:val="20"/>
        </w:rPr>
        <w:t>Mexico City, Mexico, August 3, 2026</w:t>
      </w:r>
      <w:r>
        <w:rPr>
          <w:color w:val="000000"/>
        </w:rPr>
        <w:t xml:space="preserve"> – </w:t>
      </w:r>
      <w:r>
        <w:rPr>
          <w:rFonts w:ascii="Arial;sans-serif" w:hAnsi="Arial;sans-serif"/>
          <w:b w:val="false"/>
          <w:color w:val="000000"/>
          <w:sz w:val="20"/>
        </w:rPr>
        <w:t>Grupo Aeroméxico S.A.B. de C.V. (NYSE: AERO &amp; BMV: AERO, “Aeroméxico”) reports its July 2026 operational results.</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Grupo Aeroméxico’s total capacity, measured in available seat miles (ASMs), decreased 1.5% year-over-year, while demand, measured in revenue passenger miles (RPMs), declined 1.9%.</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Aeroméxico’s July load factor was 88.0%, down 0.4 p.p. compared with July 2025. During the month, Aeroméxico transported 2 million and 157 thousand passengers.</w:t>
      </w:r>
    </w:p>
    <w:p>
      <w:pPr>
        <w:pStyle w:val="TextBody"/>
        <w:bidi w:val="0"/>
        <w:spacing w:lineRule="auto" w:line="319" w:before="0" w:after="0"/>
        <w:jc w:val="both"/>
        <w:rPr/>
      </w:pPr>
      <w:r>
        <w:rPr>
          <w:rFonts w:ascii="Arial;sans-serif" w:hAnsi="Arial;sans-serif"/>
          <w:b/>
          <w:color w:val="020C41"/>
          <w:sz w:val="20"/>
        </w:rPr>
        <w:t>Andrés Conesa, Chief Executive Officer stated</w:t>
      </w:r>
      <w:r>
        <w:rPr>
          <w:rFonts w:ascii="Arial;sans-serif" w:hAnsi="Arial;sans-serif"/>
          <w:b/>
          <w:i/>
          <w:color w:val="020C41"/>
          <w:sz w:val="20"/>
        </w:rPr>
        <w:t>:</w:t>
      </w:r>
      <w:r>
        <w:rPr>
          <w:color w:val="000000"/>
        </w:rPr>
        <w:t xml:space="preserve"> “</w:t>
      </w:r>
      <w:r>
        <w:rPr>
          <w:rFonts w:ascii="Arial;sans-serif" w:hAnsi="Arial;sans-serif"/>
          <w:b w:val="false"/>
          <w:color w:val="000000"/>
          <w:sz w:val="20"/>
        </w:rPr>
        <w:t>Our July traffic results were in line with our expectations. International demand continued to demonstrate resilience, delivering solid performance across our network. In the domestic market, demand recovered strongly toward the end of the month following the temporary moderation associated with the World Cup. These results, together with encouraging booking trends, reinforce our confidence in the outlook for the remainder of the year and our ability to continue executing our strategy. We will continue to optimize our network and capacity deployment to capture demand opportunities while maintaining our focus on profitability.”</w:t>
      </w:r>
    </w:p>
    <w:tbl>
      <w:tblPr>
        <w:tblW w:w="8249" w:type="dxa"/>
        <w:jc w:val="left"/>
        <w:tblInd w:w="0" w:type="dxa"/>
        <w:tblLayout w:type="fixed"/>
        <w:tblCellMar>
          <w:top w:w="28" w:type="dxa"/>
          <w:left w:w="28" w:type="dxa"/>
          <w:bottom w:w="28" w:type="dxa"/>
          <w:right w:w="28" w:type="dxa"/>
        </w:tblCellMar>
      </w:tblPr>
      <w:tblGrid>
        <w:gridCol w:w="1340"/>
        <w:gridCol w:w="1181"/>
        <w:gridCol w:w="1184"/>
        <w:gridCol w:w="218"/>
        <w:gridCol w:w="218"/>
        <w:gridCol w:w="223"/>
        <w:gridCol w:w="218"/>
        <w:gridCol w:w="218"/>
        <w:gridCol w:w="223"/>
        <w:gridCol w:w="304"/>
        <w:gridCol w:w="304"/>
        <w:gridCol w:w="307"/>
        <w:gridCol w:w="234"/>
        <w:gridCol w:w="234"/>
        <w:gridCol w:w="223"/>
        <w:gridCol w:w="234"/>
        <w:gridCol w:w="234"/>
        <w:gridCol w:w="223"/>
        <w:gridCol w:w="268"/>
        <w:gridCol w:w="268"/>
        <w:gridCol w:w="393"/>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July</w:t>
            </w:r>
          </w:p>
        </w:tc>
        <w:tc>
          <w:tcPr>
            <w:tcW w:w="2311"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Cumulative to July</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915"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 xml:space="preserve">Var. </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Var.</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Passengers </w:t>
            </w:r>
            <w:r>
              <w:rPr>
                <w:rFonts w:ascii="Arial;sans-serif" w:hAnsi="Arial;sans-serif"/>
                <w:b/>
                <w:color w:val="020C41"/>
                <w:sz w:val="16"/>
              </w:rPr>
              <w:t>(itinerary + charter, thousands)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1,331</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1,437</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9,058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9,464</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(4.3%)</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826</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860</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(4.0%)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4,904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4,891</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0.3%</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2,157</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2,298</w:t>
            </w:r>
          </w:p>
        </w:tc>
        <w:tc>
          <w:tcPr>
            <w:tcW w:w="91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(6.1%)</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13,962</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14,355</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ASMs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877</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929</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6,116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6,331</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(3.4%)</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2,429</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2,427</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15,042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14,802</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1.6%</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3,306</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3,356</w:t>
            </w:r>
          </w:p>
        </w:tc>
        <w:tc>
          <w:tcPr>
            <w:tcW w:w="91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(1.5%)</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21,158</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21,133</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RPMs</w:t>
            </w:r>
            <w:r>
              <w:rPr>
                <w:color w:val="020C41"/>
              </w:rPr>
              <w:t xml:space="preserve">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764</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824</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5,126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5,348</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(4.1%)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2,146</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2,142</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12,890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12,554</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2.7%</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2,910</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2,967</w:t>
            </w:r>
          </w:p>
        </w:tc>
        <w:tc>
          <w:tcPr>
            <w:tcW w:w="91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(1.9%)</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18,016</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17,902</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Load Factor </w:t>
            </w:r>
            <w:r>
              <w:rPr>
                <w:rFonts w:ascii="Arial;sans-serif" w:hAnsi="Arial;sans-serif"/>
                <w:b/>
                <w:color w:val="020C41"/>
                <w:sz w:val="16"/>
              </w:rPr>
              <w:t>(itinerary, %)</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87.1%</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88.7%</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(1.6 p.p.)</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83.8%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84.5%</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(0.6 p.p.)</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88.4%</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88.3%</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0.0 p.p.</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84.8%</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0.9 p.p.</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88.0%</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88.5%</w:t>
            </w:r>
          </w:p>
        </w:tc>
        <w:tc>
          <w:tcPr>
            <w:tcW w:w="91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(0.4 p.p.)</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85.2%</w:t>
            </w:r>
          </w:p>
        </w:tc>
        <w:tc>
          <w:tcPr>
            <w:tcW w:w="691"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84.7%</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0.5 p.p.</w:t>
            </w:r>
          </w:p>
        </w:tc>
      </w:tr>
    </w:tbl>
    <w:p>
      <w:pPr>
        <w:pStyle w:val="TextBody"/>
        <w:bidi w:val="0"/>
        <w:spacing w:lineRule="auto" w:line="319" w:before="0" w:after="0"/>
        <w:jc w:val="both"/>
        <w:rPr>
          <w:rFonts w:ascii="Arial;sans-serif" w:hAnsi="Arial;sans-serif"/>
          <w:b w:val="false"/>
          <w:i/>
          <w:color w:val="000000"/>
          <w:sz w:val="14"/>
        </w:rPr>
      </w:pPr>
      <w:r>
        <w:rPr>
          <w:rFonts w:ascii="Arial;sans-serif" w:hAnsi="Arial;sans-serif"/>
          <w:b w:val="false"/>
          <w:i/>
          <w:color w:val="000000"/>
          <w:sz w:val="14"/>
        </w:rPr>
        <w:t xml:space="preserve">Figures may not sum total due to rounding.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drawing>
          <wp:inline distT="0" distB="0" distL="0" distR="0">
            <wp:extent cx="1066800" cy="2667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1066800" cy="26670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77520"/>
                <wp:effectExtent l="0" t="0" r="0" b="0"/>
                <wp:wrapNone/>
                <wp:docPr id="34" name="Frame1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both"/>
                              <w:rPr/>
                            </w:pPr>
                            <w:r>
                              <w:rPr/>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p>
                      <w:pPr>
                        <w:pStyle w:val="TextBody"/>
                        <w:bidi w:val="0"/>
                        <w:spacing w:before="0" w:after="20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i/>
          <w:color w:val="404040"/>
          <w:sz w:val="16"/>
        </w:rPr>
      </w:pPr>
      <w:r>
        <w:rPr>
          <w:rFonts w:ascii="Arial;sans-serif" w:hAnsi="Arial;sans-serif"/>
          <w:b w:val="false"/>
          <w:i/>
          <w:color w:val="404040"/>
          <w:sz w:val="16"/>
        </w:rPr>
        <w:t>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404040"/>
          <w:sz w:val="18"/>
        </w:rPr>
      </w:pPr>
      <w:r>
        <w:rPr>
          <w:rFonts w:ascii="Arial;sans-serif" w:hAnsi="Arial;sans-serif"/>
          <w:b/>
          <w:color w:val="404040"/>
          <w:sz w:val="18"/>
        </w:rPr>
        <w:t>Glossary:</w:t>
      </w:r>
    </w:p>
    <w:p>
      <w:pPr>
        <w:pStyle w:val="TextBody"/>
        <w:bidi w:val="0"/>
        <w:spacing w:lineRule="auto" w:line="288" w:before="0" w:after="0"/>
        <w:ind w:left="0" w:right="0" w:hanging="142"/>
        <w:jc w:val="both"/>
        <w:rPr/>
      </w:pPr>
      <w:r>
        <w:rPr>
          <w:color w:val="404040"/>
        </w:rPr>
        <w:t>●</w:t>
      </w:r>
      <w:r>
        <w:rPr>
          <w:color w:val="404040"/>
          <w:u w:val="single"/>
        </w:rPr>
        <w:t xml:space="preserve"> “</w:t>
      </w:r>
      <w:r>
        <w:rPr>
          <w:rFonts w:ascii="Arial;sans-serif" w:hAnsi="Arial;sans-serif"/>
          <w:b w:val="false"/>
          <w:color w:val="404040"/>
          <w:sz w:val="14"/>
          <w:u w:val="single"/>
        </w:rPr>
        <w:t>RPMs”</w:t>
      </w:r>
      <w:r>
        <w:rPr>
          <w:color w:val="404040"/>
        </w:rPr>
        <w:t xml:space="preserve"> </w:t>
      </w:r>
      <w:r>
        <w:rPr>
          <w:rFonts w:ascii="Arial;sans-serif" w:hAnsi="Arial;sans-serif"/>
          <w:b w:val="false"/>
          <w:color w:val="404040"/>
          <w:sz w:val="14"/>
        </w:rPr>
        <w:t xml:space="preserve">Revenue Passenger Miles represent one revenue-passenger transported one mile. This includes itinerary and charter flights. The total RPMs equals the number of revenue-passengers transported multiplied by the total distance flown.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ASMs”</w:t>
      </w:r>
      <w:r>
        <w:rPr>
          <w:color w:val="404040"/>
        </w:rPr>
        <w:t xml:space="preserve"> </w:t>
      </w:r>
      <w:r>
        <w:rPr>
          <w:rFonts w:ascii="Arial;sans-serif" w:hAnsi="Arial;sans-serif"/>
          <w:b w:val="false"/>
          <w:color w:val="404040"/>
          <w:sz w:val="14"/>
        </w:rPr>
        <w:t xml:space="preserve">Available Seat Miles represent the number of available seats multiplied by the distance flown. This metric is an indicator of the airline’s capacity. It equals one seat offered for one mile, whether the seat is used.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Load Factor”</w:t>
      </w:r>
      <w:r>
        <w:rPr>
          <w:color w:val="404040"/>
        </w:rPr>
        <w:t xml:space="preserve"> </w:t>
      </w:r>
      <w:r>
        <w:rPr>
          <w:rFonts w:ascii="Arial;sans-serif" w:hAnsi="Arial;sans-serif"/>
          <w:b w:val="false"/>
          <w:color w:val="404040"/>
          <w:sz w:val="14"/>
        </w:rPr>
        <w:t>equals the number of passengers transported as a percentage of the number of seats offered. It is a measure of the airline’s capacity utilization. This metric considers the total passengers transported and total seats available in itinerary flights only.</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Passengers”</w:t>
      </w:r>
      <w:r>
        <w:rPr>
          <w:color w:val="404040"/>
        </w:rPr>
        <w:t xml:space="preserve"> </w:t>
      </w:r>
      <w:r>
        <w:rPr>
          <w:rFonts w:ascii="Arial;sans-serif" w:hAnsi="Arial;sans-serif"/>
          <w:b w:val="false"/>
          <w:color w:val="404040"/>
          <w:sz w:val="14"/>
        </w:rPr>
        <w:t xml:space="preserve">refers to the total number of passengers transported by the airline.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About Grupo Aeroméxico</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www.aeromexico.com</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www.skyteam.com</w:t>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5780"/>
                <wp:effectExtent l="0" t="0" r="0" b="0"/>
                <wp:wrapNone/>
                <wp:docPr id="35" name="Frame1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color w:val="404040"/>
        </w:rPr>
      </w:pPr>
      <w:r>
        <w:rPr>
          <w:color w:val="404040"/>
        </w:rPr>
        <w:t>    </w:t>
      </w:r>
    </w:p>
    <w:tbl>
      <w:tblPr>
        <w:tblW w:w="7009" w:type="dxa"/>
        <w:jc w:val="left"/>
        <w:tblInd w:w="0" w:type="dxa"/>
        <w:tblLayout w:type="fixed"/>
        <w:tblCellMar>
          <w:top w:w="28" w:type="dxa"/>
          <w:left w:w="28" w:type="dxa"/>
          <w:bottom w:w="28" w:type="dxa"/>
          <w:right w:w="28" w:type="dxa"/>
        </w:tblCellMar>
      </w:tblPr>
      <w:tblGrid>
        <w:gridCol w:w="124"/>
        <w:gridCol w:w="109"/>
        <w:gridCol w:w="109"/>
        <w:gridCol w:w="2018"/>
        <w:gridCol w:w="2018"/>
        <w:gridCol w:w="2020"/>
        <w:gridCol w:w="179"/>
        <w:gridCol w:w="179"/>
        <w:gridCol w:w="2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3790950" cy="9525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3790950" cy="952500"/>
                          </a:xfrm>
                          <a:prstGeom prst="rect">
                            <a:avLst/>
                          </a:prstGeom>
                        </pic:spPr>
                      </pic:pic>
                    </a:graphicData>
                  </a:graphic>
                </wp:inline>
              </w:drawing>
            </w:r>
          </w:p>
        </w:tc>
        <w:tc>
          <w:tcPr>
            <w:tcW w:w="611" w:type="dxa"/>
            <w:gridSpan w:val="3"/>
            <w:tcBorders/>
            <w:tcMar>
              <w:top w:w="0" w:type="dxa"/>
              <w:left w:w="0" w:type="dxa"/>
              <w:bottom w:w="0" w:type="dxa"/>
              <w:right w:w="0" w:type="dxa"/>
            </w:tcMar>
            <w:vAlign w:val="center"/>
          </w:tcPr>
          <w:p>
            <w:pPr>
              <w:pStyle w:val="TableContents"/>
              <w:bidi w:val="0"/>
              <w:spacing w:before="0" w:after="200"/>
              <w:jc w:val="right"/>
              <w:rPr/>
            </w:pPr>
            <w:r>
              <w:rPr/>
              <w:drawing>
                <wp:inline distT="0" distB="0" distL="0" distR="0">
                  <wp:extent cx="304800" cy="10668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304800" cy="1066800"/>
                          </a:xfrm>
                          <a:prstGeom prst="rect">
                            <a:avLst/>
                          </a:prstGeom>
                        </pic:spPr>
                      </pic:pic>
                    </a:graphicData>
                  </a:graphic>
                </wp:inline>
              </w:drawing>
            </w:r>
          </w:p>
        </w:tc>
      </w:tr>
    </w:tbl>
    <w:p>
      <w:pPr>
        <w:pStyle w:val="TextBody"/>
        <w:bidi w:val="0"/>
        <w:spacing w:lineRule="auto" w:line="288" w:before="0" w:after="0"/>
        <w:jc w:val="left"/>
        <w:rPr>
          <w:rFonts w:ascii="Arial;sans-serif" w:hAnsi="Arial;sans-serif"/>
          <w:b/>
          <w:color w:val="020C41"/>
          <w:sz w:val="24"/>
        </w:rPr>
      </w:pPr>
      <w:r>
        <w:rPr>
          <w:rFonts w:ascii="Arial;sans-serif" w:hAnsi="Arial;sans-serif"/>
          <w:b/>
          <w:color w:val="020C41"/>
          <w:sz w:val="24"/>
        </w:rPr>
        <w:t>Aeroméxico August 2026 Traffic Results</w:t>
      </w:r>
    </w:p>
    <w:p>
      <w:pPr>
        <w:pStyle w:val="TextBody"/>
        <w:bidi w:val="0"/>
        <w:spacing w:before="0" w:after="200"/>
        <w:jc w:val="both"/>
        <w:rPr/>
      </w:pPr>
      <w:r>
        <w:rPr/>
      </w:r>
    </w:p>
    <w:p>
      <w:pPr>
        <w:pStyle w:val="TextBody"/>
        <w:bidi w:val="0"/>
        <w:spacing w:lineRule="auto" w:line="276" w:before="0" w:after="200"/>
        <w:jc w:val="both"/>
        <w:rPr/>
      </w:pPr>
      <w:r>
        <w:rPr>
          <w:rFonts w:ascii="Arial;sans-serif" w:hAnsi="Arial;sans-serif"/>
          <w:b/>
          <w:color w:val="020C41"/>
          <w:sz w:val="20"/>
        </w:rPr>
        <w:t>Mexico City, Mexico, September 3, 2026</w:t>
      </w:r>
      <w:r>
        <w:rPr>
          <w:color w:val="000000"/>
        </w:rPr>
        <w:t xml:space="preserve"> – </w:t>
      </w:r>
      <w:r>
        <w:rPr>
          <w:rFonts w:ascii="Arial;sans-serif" w:hAnsi="Arial;sans-serif"/>
          <w:b w:val="false"/>
          <w:color w:val="000000"/>
          <w:sz w:val="20"/>
        </w:rPr>
        <w:t>Grupo Aeroméxico S.A.B. de C.V. (NYSE: AERO &amp; BMV: AERO, “Aeroméxico”) reports its August 2026 operational results.</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Grupo Aeroméxico’s total capacity, measured in available seat miles (ASMs), increased 2.3% year-over-year, while demand, measured in revenue passenger miles (RPMs), increased 2.9%.</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Aeroméxico’s August load factor was 89.7%, an increase of 0.6 p.p. compared with August 2025. During the month, Aeroméxico transported 2 million and 151 thousand passengers.</w:t>
      </w:r>
    </w:p>
    <w:p>
      <w:pPr>
        <w:pStyle w:val="TextBody"/>
        <w:bidi w:val="0"/>
        <w:spacing w:lineRule="auto" w:line="319" w:before="0" w:after="200"/>
        <w:jc w:val="both"/>
        <w:rPr/>
      </w:pPr>
      <w:r>
        <w:rPr>
          <w:rFonts w:ascii="Arial;sans-serif" w:hAnsi="Arial;sans-serif"/>
          <w:b/>
          <w:color w:val="020C41"/>
          <w:sz w:val="20"/>
        </w:rPr>
        <w:t>Andrés Conesa, Chief Executive Officer stated</w:t>
      </w:r>
      <w:r>
        <w:rPr>
          <w:rFonts w:ascii="Arial;sans-serif" w:hAnsi="Arial;sans-serif"/>
          <w:b/>
          <w:i/>
          <w:color w:val="002060"/>
          <w:sz w:val="20"/>
        </w:rPr>
        <w:t>:</w:t>
      </w:r>
      <w:r>
        <w:rPr>
          <w:color w:val="000000"/>
        </w:rPr>
        <w:t xml:space="preserve"> “</w:t>
      </w:r>
      <w:r>
        <w:rPr>
          <w:rFonts w:ascii="Arial;sans-serif" w:hAnsi="Arial;sans-serif"/>
          <w:b w:val="false"/>
          <w:i/>
          <w:color w:val="000000"/>
          <w:sz w:val="20"/>
        </w:rPr>
        <w:t>Our August traffic results demonstrate the strength of demand across our network, as we concluded the peak summer travel season with strong domestic and international load factors despite a challenging comparison with August 2025. Forward bookings continue to reflect healthy demand trends as we move into the fall season, reinforcing our confidence in the demand outlook. As we continue to navigate an evolving operating environment with higher fuel cost than previously anticipated, we remain focused on the factors within our control: disciplined capacity deployment, network optimization, and fuel recapture initiatives, to capitalize on demand opportunities while supporting long-term profitability.”</w:t>
      </w:r>
    </w:p>
    <w:tbl>
      <w:tblPr>
        <w:tblW w:w="8348" w:type="dxa"/>
        <w:jc w:val="left"/>
        <w:tblInd w:w="0" w:type="dxa"/>
        <w:tblLayout w:type="fixed"/>
        <w:tblCellMar>
          <w:top w:w="28" w:type="dxa"/>
          <w:left w:w="28" w:type="dxa"/>
          <w:bottom w:w="28" w:type="dxa"/>
          <w:right w:w="28" w:type="dxa"/>
        </w:tblCellMar>
      </w:tblPr>
      <w:tblGrid>
        <w:gridCol w:w="1340"/>
        <w:gridCol w:w="1181"/>
        <w:gridCol w:w="1184"/>
        <w:gridCol w:w="218"/>
        <w:gridCol w:w="218"/>
        <w:gridCol w:w="223"/>
        <w:gridCol w:w="218"/>
        <w:gridCol w:w="218"/>
        <w:gridCol w:w="223"/>
        <w:gridCol w:w="294"/>
        <w:gridCol w:w="294"/>
        <w:gridCol w:w="297"/>
        <w:gridCol w:w="299"/>
        <w:gridCol w:w="228"/>
        <w:gridCol w:w="228"/>
        <w:gridCol w:w="299"/>
        <w:gridCol w:w="228"/>
        <w:gridCol w:w="228"/>
        <w:gridCol w:w="269"/>
        <w:gridCol w:w="269"/>
        <w:gridCol w:w="392"/>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August</w:t>
            </w:r>
          </w:p>
        </w:tc>
        <w:tc>
          <w:tcPr>
            <w:tcW w:w="2440"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Cumulative to August</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885"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 xml:space="preserve">Var. </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930"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Var.</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Passengers </w:t>
            </w:r>
            <w:r>
              <w:rPr>
                <w:rFonts w:ascii="Arial;sans-serif" w:hAnsi="Arial;sans-serif"/>
                <w:b/>
                <w:color w:val="020C41"/>
                <w:sz w:val="16"/>
              </w:rPr>
              <w:t>(itinerary + charter, thousands)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1,378</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1,394</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10,436</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10,858</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(3.9%)</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773</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778</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(0.7%)</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5,677</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5,669</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0.1%</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2,151</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2,172</w:t>
            </w:r>
          </w:p>
        </w:tc>
        <w:tc>
          <w:tcPr>
            <w:tcW w:w="88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(1.0%)</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16,113</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16,527</w:t>
            </w:r>
          </w:p>
        </w:tc>
        <w:tc>
          <w:tcPr>
            <w:tcW w:w="930"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(2.5%)</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ASMs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879</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879</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(0.1%)</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6,995</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7,210</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2,317</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2,246</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3.2%</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17,361</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17,047</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1.8%</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3,196</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3,125</w:t>
            </w:r>
          </w:p>
        </w:tc>
        <w:tc>
          <w:tcPr>
            <w:tcW w:w="88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2.3%</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24,356</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24,258</w:t>
            </w:r>
          </w:p>
        </w:tc>
        <w:tc>
          <w:tcPr>
            <w:tcW w:w="930"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0.4%</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RPMs</w:t>
            </w:r>
            <w:r>
              <w:rPr>
                <w:color w:val="020C41"/>
              </w:rPr>
              <w:t xml:space="preserve">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783</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789</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(0.7%)</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5,910</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6,136</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2,084</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1,998</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4.3%</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14,975</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14,552</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2.9%</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2,867</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2,787</w:t>
            </w:r>
          </w:p>
        </w:tc>
        <w:tc>
          <w:tcPr>
            <w:tcW w:w="88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2.9%</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20,884</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20,688</w:t>
            </w:r>
          </w:p>
        </w:tc>
        <w:tc>
          <w:tcPr>
            <w:tcW w:w="930"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0.9%</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Load Factor </w:t>
            </w:r>
            <w:r>
              <w:rPr>
                <w:rFonts w:ascii="Arial;sans-serif" w:hAnsi="Arial;sans-serif"/>
                <w:b/>
                <w:color w:val="020C41"/>
                <w:sz w:val="16"/>
              </w:rPr>
              <w:t>(itinerary, %)</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89.2%</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89.7%</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(0.5 p.p.)</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84.5%</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85.1%</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(0.6) p.p.</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89.9%</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89.0%</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1.0 p.p.</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86.3%</w:t>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85.4%</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0.9 p.p.</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89.7%</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89.2%</w:t>
            </w:r>
          </w:p>
        </w:tc>
        <w:tc>
          <w:tcPr>
            <w:tcW w:w="88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00000"/>
                <w:sz w:val="20"/>
              </w:rPr>
            </w:pPr>
            <w:r>
              <w:rPr>
                <w:rFonts w:ascii="Arial;sans-serif" w:hAnsi="Arial;sans-serif"/>
                <w:b/>
                <w:color w:val="000000"/>
                <w:sz w:val="20"/>
              </w:rPr>
              <w:t>0.6 p.p.</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85.8%</w:t>
            </w:r>
          </w:p>
        </w:tc>
        <w:tc>
          <w:tcPr>
            <w:tcW w:w="75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85.3%</w:t>
            </w:r>
          </w:p>
        </w:tc>
        <w:tc>
          <w:tcPr>
            <w:tcW w:w="930"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00000"/>
                <w:sz w:val="20"/>
              </w:rPr>
            </w:pPr>
            <w:r>
              <w:rPr>
                <w:rFonts w:ascii="Arial;sans-serif" w:hAnsi="Arial;sans-serif"/>
                <w:b/>
                <w:color w:val="000000"/>
                <w:sz w:val="20"/>
              </w:rPr>
              <w:t>0.5 p.p.</w:t>
            </w:r>
          </w:p>
        </w:tc>
      </w:tr>
    </w:tbl>
    <w:p>
      <w:pPr>
        <w:pStyle w:val="TextBody"/>
        <w:bidi w:val="0"/>
        <w:spacing w:lineRule="auto" w:line="319" w:before="0" w:after="200"/>
        <w:jc w:val="both"/>
        <w:rPr>
          <w:rFonts w:ascii="Arial;sans-serif" w:hAnsi="Arial;sans-serif"/>
          <w:b w:val="false"/>
          <w:i/>
          <w:color w:val="000000"/>
          <w:sz w:val="14"/>
        </w:rPr>
      </w:pPr>
      <w:r>
        <w:rPr>
          <w:rFonts w:ascii="Arial;sans-serif" w:hAnsi="Arial;sans-serif"/>
          <w:b w:val="false"/>
          <w:i/>
          <w:color w:val="000000"/>
          <w:sz w:val="14"/>
        </w:rPr>
        <w:t>Figures may not sum to total due to rounding.</w:t>
      </w:r>
    </w:p>
    <w:p>
      <w:pPr>
        <w:pStyle w:val="TextBody"/>
        <w:bidi w:val="0"/>
        <w:spacing w:before="0" w:after="0"/>
        <w:jc w:val="left"/>
        <w:rPr/>
      </w:pPr>
      <w:r>
        <w:rPr/>
        <w:drawing>
          <wp:inline distT="0" distB="0" distL="0" distR="0">
            <wp:extent cx="1066800" cy="2667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1066800" cy="266700"/>
                    </a:xfrm>
                    <a:prstGeom prst="rect">
                      <a:avLst/>
                    </a:prstGeom>
                  </pic:spPr>
                </pic:pic>
              </a:graphicData>
            </a:graphic>
          </wp:inline>
        </w:drawing>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77520"/>
                <wp:effectExtent l="0" t="0" r="0" b="0"/>
                <wp:wrapNone/>
                <wp:docPr id="39" name="Frame2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both"/>
                              <w:rPr/>
                            </w:pPr>
                            <w:r>
                              <w:rPr/>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p>
                      <w:pPr>
                        <w:pStyle w:val="TextBody"/>
                        <w:bidi w:val="0"/>
                        <w:spacing w:before="0" w:after="20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200"/>
        <w:jc w:val="both"/>
        <w:rPr>
          <w:rFonts w:ascii="Arial;sans-serif" w:hAnsi="Arial;sans-serif"/>
          <w:b w:val="false"/>
          <w:i/>
          <w:color w:val="404040"/>
          <w:sz w:val="16"/>
        </w:rPr>
      </w:pPr>
      <w:r>
        <w:rPr>
          <w:rFonts w:ascii="Arial;sans-serif" w:hAnsi="Arial;sans-serif"/>
          <w:b w:val="false"/>
          <w:i/>
          <w:color w:val="404040"/>
          <w:sz w:val="16"/>
        </w:rPr>
        <w:t>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404040"/>
          <w:sz w:val="18"/>
        </w:rPr>
      </w:pPr>
      <w:r>
        <w:rPr>
          <w:rFonts w:ascii="Arial;sans-serif" w:hAnsi="Arial;sans-serif"/>
          <w:b/>
          <w:color w:val="404040"/>
          <w:sz w:val="18"/>
        </w:rPr>
        <w:t>Glossary:</w:t>
      </w:r>
    </w:p>
    <w:p>
      <w:pPr>
        <w:pStyle w:val="TextBody"/>
        <w:bidi w:val="0"/>
        <w:spacing w:lineRule="auto" w:line="288" w:before="0" w:after="0"/>
        <w:ind w:left="0" w:right="0" w:hanging="142"/>
        <w:jc w:val="both"/>
        <w:rPr/>
      </w:pPr>
      <w:r>
        <w:rPr>
          <w:color w:val="404040"/>
        </w:rPr>
        <w:t>●</w:t>
      </w:r>
      <w:r>
        <w:rPr>
          <w:color w:val="404040"/>
          <w:u w:val="single"/>
        </w:rPr>
        <w:t xml:space="preserve"> “</w:t>
      </w:r>
      <w:r>
        <w:rPr>
          <w:rFonts w:ascii="Arial;sans-serif" w:hAnsi="Arial;sans-serif"/>
          <w:b w:val="false"/>
          <w:color w:val="404040"/>
          <w:sz w:val="14"/>
          <w:u w:val="single"/>
        </w:rPr>
        <w:t>RPMs”</w:t>
      </w:r>
      <w:r>
        <w:rPr>
          <w:color w:val="404040"/>
        </w:rPr>
        <w:t xml:space="preserve"> </w:t>
      </w:r>
      <w:r>
        <w:rPr>
          <w:rFonts w:ascii="Arial;sans-serif" w:hAnsi="Arial;sans-serif"/>
          <w:b w:val="false"/>
          <w:color w:val="404040"/>
          <w:sz w:val="14"/>
        </w:rPr>
        <w:t xml:space="preserve">Revenue Passenger Miles represent one revenue-passenger transported one mile. This includes itinerary and charter flights. The total RPMs equals the number of revenue-passengers transported multiplied by the total distance flown.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ASMs”</w:t>
      </w:r>
      <w:r>
        <w:rPr>
          <w:color w:val="404040"/>
        </w:rPr>
        <w:t xml:space="preserve"> </w:t>
      </w:r>
      <w:r>
        <w:rPr>
          <w:rFonts w:ascii="Arial;sans-serif" w:hAnsi="Arial;sans-serif"/>
          <w:b w:val="false"/>
          <w:color w:val="404040"/>
          <w:sz w:val="14"/>
        </w:rPr>
        <w:t xml:space="preserve">Available Seat Miles represent the number of available seats multiplied by the distance flown. This metric is an indicator of the airline’s capacity. It equals one seat offered for one mile, whether the seat is used.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Load Factor”</w:t>
      </w:r>
      <w:r>
        <w:rPr>
          <w:color w:val="404040"/>
        </w:rPr>
        <w:t xml:space="preserve"> </w:t>
      </w:r>
      <w:r>
        <w:rPr>
          <w:rFonts w:ascii="Arial;sans-serif" w:hAnsi="Arial;sans-serif"/>
          <w:b w:val="false"/>
          <w:color w:val="404040"/>
          <w:sz w:val="14"/>
        </w:rPr>
        <w:t>equals the number of passengers transported as a percentage of the number of seats offered. It is a measure of the airline’s capacity utilization. This metric considers the total passengers transported and total seats available in itinerary flights only.</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Passengers”</w:t>
      </w:r>
      <w:r>
        <w:rPr>
          <w:color w:val="404040"/>
        </w:rPr>
        <w:t xml:space="preserve"> </w:t>
      </w:r>
      <w:r>
        <w:rPr>
          <w:rFonts w:ascii="Arial;sans-serif" w:hAnsi="Arial;sans-serif"/>
          <w:b w:val="false"/>
          <w:color w:val="404040"/>
          <w:sz w:val="14"/>
        </w:rPr>
        <w:t xml:space="preserve">refers to the total number of passengers transported by the airline.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About Grupo Aeroméxico</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www.aeromexico.com</w:t>
      </w:r>
    </w:p>
    <w:p>
      <w:pPr>
        <w:pStyle w:val="TextBody"/>
        <w:bidi w:val="0"/>
        <w:spacing w:lineRule="auto" w:line="288"/>
        <w:jc w:val="both"/>
        <w:rPr>
          <w:rFonts w:ascii="Arial;sans-serif" w:hAnsi="Arial;sans-serif"/>
          <w:b w:val="false"/>
          <w:i/>
          <w:color w:val="000000"/>
          <w:sz w:val="12"/>
        </w:rPr>
      </w:pPr>
      <w:r>
        <w:rPr>
          <w:rFonts w:ascii="Arial;sans-serif" w:hAnsi="Arial;sans-serif"/>
          <w:b w:val="false"/>
          <w:i/>
          <w:color w:val="000000"/>
          <w:sz w:val="12"/>
        </w:rPr>
        <w:t>www.skyteam.com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0"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color w:val="404040"/>
        </w:rPr>
      </w:pPr>
      <w:r>
        <w:rPr>
          <w:color w:val="404040"/>
        </w:rPr>
        <w:t>    </w:t>
      </w:r>
    </w:p>
    <w:tbl>
      <w:tblPr>
        <w:tblW w:w="7009" w:type="dxa"/>
        <w:jc w:val="left"/>
        <w:tblInd w:w="0" w:type="dxa"/>
        <w:tblLayout w:type="fixed"/>
        <w:tblCellMar>
          <w:top w:w="28" w:type="dxa"/>
          <w:left w:w="28" w:type="dxa"/>
          <w:bottom w:w="28" w:type="dxa"/>
          <w:right w:w="28" w:type="dxa"/>
        </w:tblCellMar>
      </w:tblPr>
      <w:tblGrid>
        <w:gridCol w:w="124"/>
        <w:gridCol w:w="109"/>
        <w:gridCol w:w="109"/>
        <w:gridCol w:w="2018"/>
        <w:gridCol w:w="2018"/>
        <w:gridCol w:w="2020"/>
        <w:gridCol w:w="179"/>
        <w:gridCol w:w="179"/>
        <w:gridCol w:w="2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3790950" cy="9525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1"/>
                          <a:stretch>
                            <a:fillRect/>
                          </a:stretch>
                        </pic:blipFill>
                        <pic:spPr bwMode="auto">
                          <a:xfrm>
                            <a:off x="0" y="0"/>
                            <a:ext cx="3790950" cy="952500"/>
                          </a:xfrm>
                          <a:prstGeom prst="rect">
                            <a:avLst/>
                          </a:prstGeom>
                        </pic:spPr>
                      </pic:pic>
                    </a:graphicData>
                  </a:graphic>
                </wp:inline>
              </w:drawing>
            </w:r>
          </w:p>
        </w:tc>
        <w:tc>
          <w:tcPr>
            <w:tcW w:w="611" w:type="dxa"/>
            <w:gridSpan w:val="3"/>
            <w:tcBorders/>
            <w:tcMar>
              <w:top w:w="0" w:type="dxa"/>
              <w:left w:w="0" w:type="dxa"/>
              <w:bottom w:w="0" w:type="dxa"/>
              <w:right w:w="0" w:type="dxa"/>
            </w:tcMar>
            <w:vAlign w:val="center"/>
          </w:tcPr>
          <w:p>
            <w:pPr>
              <w:pStyle w:val="TableContents"/>
              <w:bidi w:val="0"/>
              <w:spacing w:before="0" w:after="200"/>
              <w:jc w:val="right"/>
              <w:rPr/>
            </w:pPr>
            <w:r>
              <w:rPr/>
              <w:drawing>
                <wp:inline distT="0" distB="0" distL="0" distR="0">
                  <wp:extent cx="304800" cy="10668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304800" cy="1066800"/>
                          </a:xfrm>
                          <a:prstGeom prst="rect">
                            <a:avLst/>
                          </a:prstGeom>
                        </pic:spPr>
                      </pic:pic>
                    </a:graphicData>
                  </a:graphic>
                </wp:inline>
              </w:drawing>
            </w:r>
          </w:p>
        </w:tc>
      </w:tr>
    </w:tbl>
    <w:p>
      <w:pPr>
        <w:pStyle w:val="TextBody"/>
        <w:bidi w:val="0"/>
        <w:spacing w:lineRule="auto" w:line="288" w:before="0" w:after="0"/>
        <w:jc w:val="left"/>
        <w:rPr>
          <w:rFonts w:ascii="Arial;sans-serif" w:hAnsi="Arial;sans-serif"/>
          <w:b/>
          <w:color w:val="020C41"/>
          <w:sz w:val="24"/>
        </w:rPr>
      </w:pPr>
      <w:r>
        <w:rPr>
          <w:rFonts w:ascii="Arial;sans-serif" w:hAnsi="Arial;sans-serif"/>
          <w:b/>
          <w:color w:val="020C41"/>
          <w:sz w:val="24"/>
        </w:rPr>
        <w:t>Aeroméxico September 2026 Traffic Results</w:t>
      </w:r>
    </w:p>
    <w:p>
      <w:pPr>
        <w:pStyle w:val="TextBody"/>
        <w:bidi w:val="0"/>
        <w:spacing w:before="0" w:after="200"/>
        <w:jc w:val="both"/>
        <w:rPr/>
      </w:pPr>
      <w:r>
        <w:rPr/>
      </w:r>
    </w:p>
    <w:p>
      <w:pPr>
        <w:pStyle w:val="TextBody"/>
        <w:bidi w:val="0"/>
        <w:spacing w:lineRule="auto" w:line="276" w:before="0" w:after="200"/>
        <w:jc w:val="both"/>
        <w:rPr/>
      </w:pPr>
      <w:r>
        <w:rPr>
          <w:rFonts w:ascii="Arial;sans-serif" w:hAnsi="Arial;sans-serif"/>
          <w:b/>
          <w:color w:val="020C41"/>
          <w:sz w:val="20"/>
        </w:rPr>
        <w:t>Mexico City, Mexico, October 6, 2026</w:t>
      </w:r>
      <w:r>
        <w:rPr>
          <w:color w:val="000000"/>
        </w:rPr>
        <w:t xml:space="preserve"> – </w:t>
      </w:r>
      <w:r>
        <w:rPr>
          <w:rFonts w:ascii="Arial;sans-serif" w:hAnsi="Arial;sans-serif"/>
          <w:b w:val="false"/>
          <w:color w:val="000000"/>
          <w:sz w:val="20"/>
        </w:rPr>
        <w:t>Grupo Aeroméxico S.A.B. de C.V. (NYSE: AERO &amp; BMV: AERO, “Aeroméxico”) reports its September 2026 operational results.</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Grupo Aeroméxico’s total capacity, measured in available seat miles (ASMs), increased 3.4% year-over-year, while demand, measured in revenue passenger miles (RPMs), increased 3.6%.</w:t>
      </w:r>
    </w:p>
    <w:p>
      <w:pPr>
        <w:pStyle w:val="TextBody"/>
        <w:bidi w:val="0"/>
        <w:spacing w:lineRule="auto" w:line="276" w:before="0" w:after="200"/>
        <w:jc w:val="both"/>
        <w:rPr>
          <w:rFonts w:ascii="Arial;sans-serif" w:hAnsi="Arial;sans-serif"/>
          <w:b w:val="false"/>
          <w:color w:val="000000"/>
          <w:sz w:val="20"/>
        </w:rPr>
      </w:pPr>
      <w:r>
        <w:rPr>
          <w:rFonts w:ascii="Arial;sans-serif" w:hAnsi="Arial;sans-serif"/>
          <w:b w:val="false"/>
          <w:color w:val="000000"/>
          <w:sz w:val="20"/>
        </w:rPr>
        <w:t>Aeroméxico’s September load factor was 87.1%, an increase of 0.1 p.p. compared with September 2025. During the month, Aeroméxico transported 1 million and 853 thousand passengers.</w:t>
      </w:r>
    </w:p>
    <w:p>
      <w:pPr>
        <w:pStyle w:val="TextBody"/>
        <w:bidi w:val="0"/>
        <w:spacing w:lineRule="auto" w:line="319" w:before="0" w:after="200"/>
        <w:jc w:val="both"/>
        <w:rPr/>
      </w:pPr>
      <w:r>
        <w:rPr>
          <w:rFonts w:ascii="Arial;sans-serif" w:hAnsi="Arial;sans-serif"/>
          <w:b/>
          <w:color w:val="020C41"/>
          <w:sz w:val="20"/>
        </w:rPr>
        <w:t>Andrés Conesa, Chief Executive Officer stated</w:t>
      </w:r>
      <w:r>
        <w:rPr>
          <w:rFonts w:ascii="Arial;sans-serif" w:hAnsi="Arial;sans-serif"/>
          <w:b/>
          <w:i/>
          <w:color w:val="002060"/>
          <w:sz w:val="20"/>
        </w:rPr>
        <w:t>:</w:t>
      </w:r>
      <w:r>
        <w:rPr>
          <w:color w:val="000000"/>
        </w:rPr>
        <w:t xml:space="preserve"> “</w:t>
      </w:r>
      <w:r>
        <w:rPr>
          <w:rFonts w:ascii="Arial;sans-serif" w:hAnsi="Arial;sans-serif"/>
          <w:b w:val="false"/>
          <w:i/>
          <w:color w:val="000000"/>
          <w:sz w:val="20"/>
        </w:rPr>
        <w:t>Our September traffic results reflect the strength of our network and the disciplined execution of our strategy to align capacity with demand. Our continued shift toward key international markets, together with disciplined capacity allocation, supported overall demand growth and the strong performance of our international operations while maintaining healthy load factors, despite the typical seasonal moderation in demand following the peak summer travel period. These results reinforce our confidence in the resilience of demand as we move into the final quarter of the year. While higher jet fuel prices continue to create a more challenging cost environment than anticipated, we remain focused on executing our commercial and operational initiatives to optimize our capacity deployment, capture demand opportunities, and support the long-term profitability of the business.”</w:t>
      </w:r>
    </w:p>
    <w:tbl>
      <w:tblPr>
        <w:tblW w:w="8420" w:type="dxa"/>
        <w:jc w:val="left"/>
        <w:tblInd w:w="0" w:type="dxa"/>
        <w:tblLayout w:type="fixed"/>
        <w:tblCellMar>
          <w:top w:w="28" w:type="dxa"/>
          <w:left w:w="28" w:type="dxa"/>
          <w:bottom w:w="28" w:type="dxa"/>
          <w:right w:w="28" w:type="dxa"/>
        </w:tblCellMar>
      </w:tblPr>
      <w:tblGrid>
        <w:gridCol w:w="1340"/>
        <w:gridCol w:w="1181"/>
        <w:gridCol w:w="1184"/>
        <w:gridCol w:w="218"/>
        <w:gridCol w:w="218"/>
        <w:gridCol w:w="223"/>
        <w:gridCol w:w="218"/>
        <w:gridCol w:w="218"/>
        <w:gridCol w:w="223"/>
        <w:gridCol w:w="290"/>
        <w:gridCol w:w="290"/>
        <w:gridCol w:w="304"/>
        <w:gridCol w:w="264"/>
        <w:gridCol w:w="264"/>
        <w:gridCol w:w="264"/>
        <w:gridCol w:w="264"/>
        <w:gridCol w:w="264"/>
        <w:gridCol w:w="264"/>
        <w:gridCol w:w="268"/>
        <w:gridCol w:w="268"/>
        <w:gridCol w:w="393"/>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September</w:t>
            </w:r>
          </w:p>
        </w:tc>
        <w:tc>
          <w:tcPr>
            <w:tcW w:w="2513" w:type="dxa"/>
            <w:gridSpan w:val="9"/>
            <w:tcBorders/>
            <w:shd w:fill="020C4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FFFFFF"/>
                <w:sz w:val="20"/>
              </w:rPr>
            </w:pPr>
            <w:r>
              <w:rPr>
                <w:rFonts w:ascii="Arial;sans-serif" w:hAnsi="Arial;sans-serif"/>
                <w:b/>
                <w:color w:val="FFFFFF"/>
                <w:sz w:val="20"/>
              </w:rPr>
              <w:t>Cumulative to September</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884"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 xml:space="preserve">Var. </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2026</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2025</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color w:val="020C41"/>
                <w:sz w:val="20"/>
              </w:rPr>
            </w:pPr>
            <w:r>
              <w:rPr>
                <w:rFonts w:ascii="Arial;sans-serif" w:hAnsi="Arial;sans-serif"/>
                <w:b/>
                <w:color w:val="020C41"/>
                <w:sz w:val="20"/>
              </w:rPr>
              <w:t>Var.</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Passengers </w:t>
            </w:r>
            <w:r>
              <w:rPr>
                <w:rFonts w:ascii="Arial;sans-serif" w:hAnsi="Arial;sans-serif"/>
                <w:b/>
                <w:color w:val="020C41"/>
                <w:sz w:val="16"/>
              </w:rPr>
              <w:t>(itinerary + charter, thousands)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1,226</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1,276</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(3.9%)</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11,662</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12,134</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(3.9%)</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627</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617</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1.8%</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6,304</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6,285</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0.3%</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1,853</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1,892</w:t>
            </w:r>
          </w:p>
        </w:tc>
        <w:tc>
          <w:tcPr>
            <w:tcW w:w="884"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(2.1%)</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17,966</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18,419</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(2.5%)</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ASMs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802</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830</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(3.4%)</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7,797</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8,041</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2,090</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1,966</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6.3%</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19,451</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19,013</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2.3%</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2,892</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2,796</w:t>
            </w:r>
          </w:p>
        </w:tc>
        <w:tc>
          <w:tcPr>
            <w:tcW w:w="884"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3.4%</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27,248</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27,054</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0.7%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RPMs</w:t>
            </w:r>
            <w:r>
              <w:rPr>
                <w:color w:val="020C41"/>
              </w:rPr>
              <w:t xml:space="preserve"> </w:t>
            </w:r>
            <w:r>
              <w:rPr>
                <w:rFonts w:ascii="Arial;sans-serif" w:hAnsi="Arial;sans-serif"/>
                <w:b/>
                <w:color w:val="020C41"/>
                <w:sz w:val="16"/>
              </w:rPr>
              <w:t>(itinerary + charter, millions)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689</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715</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(3.7%)</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6,598</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6,851</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1,830</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1,716</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6.6%</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16,804</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16,267</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3.3%</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2,518</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2,431</w:t>
            </w:r>
          </w:p>
        </w:tc>
        <w:tc>
          <w:tcPr>
            <w:tcW w:w="884"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3.6%</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23,403</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23,119</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1.2%</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pPr>
            <w:r>
              <w:rPr>
                <w:rFonts w:ascii="Arial;sans-serif" w:hAnsi="Arial;sans-serif"/>
                <w:b/>
                <w:color w:val="020C41"/>
                <w:sz w:val="20"/>
              </w:rPr>
              <w:t xml:space="preserve">Load Factor </w:t>
            </w:r>
            <w:r>
              <w:rPr>
                <w:rFonts w:ascii="Arial;sans-serif" w:hAnsi="Arial;sans-serif"/>
                <w:b/>
                <w:color w:val="020C41"/>
                <w:sz w:val="16"/>
              </w:rPr>
              <w:t>(itinerary, %)</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Domestic</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85.9%</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86.1%</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(0.3 p.p.)</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84.6%</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85.2%</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(0.6) p.p.</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val="false"/>
                <w:color w:val="000000"/>
                <w:sz w:val="20"/>
              </w:rPr>
            </w:pPr>
            <w:r>
              <w:rPr>
                <w:rFonts w:ascii="Arial;sans-serif" w:hAnsi="Arial;sans-serif"/>
                <w:b w:val="false"/>
                <w:color w:val="000000"/>
                <w:sz w:val="20"/>
              </w:rPr>
              <w:t>International</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87.6%</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87.3%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0.2 p.p.</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86.4%</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val="false"/>
                <w:color w:val="000000"/>
                <w:sz w:val="20"/>
              </w:rPr>
            </w:pPr>
            <w:r>
              <w:rPr>
                <w:rFonts w:ascii="Arial;sans-serif" w:hAnsi="Arial;sans-serif"/>
                <w:b w:val="false"/>
                <w:color w:val="000000"/>
                <w:sz w:val="20"/>
              </w:rPr>
              <w:t>85.6%</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00"/>
              <w:ind w:left="0" w:right="0" w:hanging="200"/>
              <w:jc w:val="center"/>
              <w:rPr>
                <w:rFonts w:ascii="Arial;sans-serif" w:hAnsi="Arial;sans-serif"/>
                <w:b w:val="false"/>
                <w:color w:val="000000"/>
                <w:sz w:val="20"/>
              </w:rPr>
            </w:pPr>
            <w:r>
              <w:rPr>
                <w:rFonts w:ascii="Arial;sans-serif" w:hAnsi="Arial;sans-serif"/>
                <w:b w:val="false"/>
                <w:color w:val="000000"/>
                <w:sz w:val="20"/>
              </w:rPr>
              <w:t>0.9 p.p.</w:t>
            </w:r>
          </w:p>
        </w:tc>
      </w:tr>
      <w:tr>
        <w:trPr/>
        <w:tc>
          <w:tcPr>
            <w:tcW w:w="3705" w:type="dxa"/>
            <w:gridSpan w:val="3"/>
            <w:tcBorders/>
            <w:shd w:fill="DCE6F1" w:val="clear"/>
            <w:tcMar>
              <w:top w:w="0" w:type="dxa"/>
              <w:left w:w="0" w:type="dxa"/>
              <w:bottom w:w="0" w:type="dxa"/>
              <w:right w:w="0" w:type="dxa"/>
            </w:tcMar>
            <w:vAlign w:val="center"/>
          </w:tcPr>
          <w:p>
            <w:pPr>
              <w:pStyle w:val="TableContents"/>
              <w:bidi w:val="0"/>
              <w:spacing w:lineRule="auto" w:line="273" w:before="0" w:after="200"/>
              <w:ind w:left="0" w:right="0" w:hanging="200"/>
              <w:jc w:val="left"/>
              <w:rPr>
                <w:rFonts w:ascii="Arial;sans-serif" w:hAnsi="Arial;sans-serif"/>
                <w:b/>
                <w:color w:val="020C41"/>
                <w:sz w:val="20"/>
              </w:rPr>
            </w:pPr>
            <w:r>
              <w:rPr>
                <w:rFonts w:ascii="Arial;sans-serif" w:hAnsi="Arial;sans-serif"/>
                <w:b/>
                <w:color w:val="020C41"/>
                <w:sz w:val="20"/>
              </w:rPr>
              <w:t>Total</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87.1%</w:t>
            </w:r>
          </w:p>
        </w:tc>
        <w:tc>
          <w:tcPr>
            <w:tcW w:w="65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87.0%</w:t>
            </w:r>
          </w:p>
        </w:tc>
        <w:tc>
          <w:tcPr>
            <w:tcW w:w="884"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00000"/>
                <w:sz w:val="20"/>
              </w:rPr>
            </w:pPr>
            <w:r>
              <w:rPr>
                <w:rFonts w:ascii="Arial;sans-serif" w:hAnsi="Arial;sans-serif"/>
                <w:b/>
                <w:color w:val="000000"/>
                <w:sz w:val="20"/>
              </w:rPr>
              <w:t>0.1 p.p.</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85.9%</w:t>
            </w:r>
          </w:p>
        </w:tc>
        <w:tc>
          <w:tcPr>
            <w:tcW w:w="792"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20C41"/>
                <w:sz w:val="20"/>
              </w:rPr>
            </w:pPr>
            <w:r>
              <w:rPr>
                <w:rFonts w:ascii="Arial;sans-serif" w:hAnsi="Arial;sans-serif"/>
                <w:b/>
                <w:color w:val="020C41"/>
                <w:sz w:val="20"/>
              </w:rPr>
              <w:t>85.5%</w:t>
            </w:r>
          </w:p>
        </w:tc>
        <w:tc>
          <w:tcPr>
            <w:tcW w:w="929" w:type="dxa"/>
            <w:gridSpan w:val="3"/>
            <w:tcBorders/>
            <w:shd w:fill="DCE6F1" w:val="clear"/>
            <w:tcMar>
              <w:top w:w="0" w:type="dxa"/>
              <w:left w:w="0" w:type="dxa"/>
              <w:bottom w:w="0" w:type="dxa"/>
              <w:right w:w="0" w:type="dxa"/>
            </w:tcMar>
            <w:vAlign w:val="center"/>
          </w:tcPr>
          <w:p>
            <w:pPr>
              <w:pStyle w:val="TableContents"/>
              <w:bidi w:val="0"/>
              <w:spacing w:lineRule="auto" w:line="273" w:before="0" w:after="200"/>
              <w:jc w:val="center"/>
              <w:rPr>
                <w:rFonts w:ascii="Arial;sans-serif" w:hAnsi="Arial;sans-serif"/>
                <w:b/>
                <w:color w:val="000000"/>
                <w:sz w:val="20"/>
              </w:rPr>
            </w:pPr>
            <w:r>
              <w:rPr>
                <w:rFonts w:ascii="Arial;sans-serif" w:hAnsi="Arial;sans-serif"/>
                <w:b/>
                <w:color w:val="000000"/>
                <w:sz w:val="20"/>
              </w:rPr>
              <w:t>0.5 p.p.</w:t>
            </w:r>
          </w:p>
        </w:tc>
      </w:tr>
    </w:tbl>
    <w:p>
      <w:pPr>
        <w:pStyle w:val="TextBody"/>
        <w:bidi w:val="0"/>
        <w:spacing w:lineRule="auto" w:line="319" w:before="0" w:after="200"/>
        <w:jc w:val="both"/>
        <w:rPr>
          <w:rFonts w:ascii="Arial;sans-serif" w:hAnsi="Arial;sans-serif"/>
          <w:b w:val="false"/>
          <w:i/>
          <w:color w:val="000000"/>
          <w:sz w:val="14"/>
        </w:rPr>
      </w:pPr>
      <w:r>
        <w:rPr>
          <w:rFonts w:ascii="Arial;sans-serif" w:hAnsi="Arial;sans-serif"/>
          <w:b w:val="false"/>
          <w:i/>
          <w:color w:val="000000"/>
          <w:sz w:val="14"/>
        </w:rPr>
        <w:t>Figures may not sum to total due to rounding.</w:t>
      </w:r>
    </w:p>
    <w:p>
      <w:pPr>
        <w:pStyle w:val="TextBody"/>
        <w:bidi w:val="0"/>
        <w:spacing w:before="0" w:after="0"/>
        <w:jc w:val="left"/>
        <w:rPr/>
      </w:pPr>
      <w:r>
        <w:rPr/>
        <w:drawing>
          <wp:inline distT="0" distB="0" distL="0" distR="0">
            <wp:extent cx="1066800" cy="2667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1066800" cy="26670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77520"/>
                <wp:effectExtent l="0" t="0" r="0" b="0"/>
                <wp:wrapNone/>
                <wp:docPr id="44" name="Frame2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both"/>
                              <w:rPr/>
                            </w:pPr>
                            <w:r>
                              <w:rPr/>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p>
                      <w:pPr>
                        <w:pStyle w:val="TextBody"/>
                        <w:bidi w:val="0"/>
                        <w:spacing w:before="0" w:after="20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i/>
          <w:color w:val="404040"/>
          <w:sz w:val="16"/>
        </w:rPr>
      </w:pPr>
      <w:r>
        <w:rPr>
          <w:rFonts w:ascii="Arial;sans-serif" w:hAnsi="Arial;sans-serif"/>
          <w:b w:val="false"/>
          <w:i/>
          <w:color w:val="404040"/>
          <w:sz w:val="16"/>
        </w:rPr>
        <w:t>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404040"/>
          <w:sz w:val="18"/>
        </w:rPr>
      </w:pPr>
      <w:r>
        <w:rPr>
          <w:rFonts w:ascii="Arial;sans-serif" w:hAnsi="Arial;sans-serif"/>
          <w:b/>
          <w:color w:val="404040"/>
          <w:sz w:val="18"/>
        </w:rPr>
        <w:t>Glossary:</w:t>
      </w:r>
    </w:p>
    <w:p>
      <w:pPr>
        <w:pStyle w:val="TextBody"/>
        <w:bidi w:val="0"/>
        <w:spacing w:lineRule="auto" w:line="288" w:before="0" w:after="0"/>
        <w:ind w:left="0" w:right="0" w:hanging="142"/>
        <w:jc w:val="both"/>
        <w:rPr/>
      </w:pPr>
      <w:r>
        <w:rPr>
          <w:color w:val="404040"/>
        </w:rPr>
        <w:t>●</w:t>
      </w:r>
      <w:r>
        <w:rPr>
          <w:color w:val="404040"/>
          <w:u w:val="single"/>
        </w:rPr>
        <w:t xml:space="preserve"> “</w:t>
      </w:r>
      <w:r>
        <w:rPr>
          <w:rFonts w:ascii="Arial;sans-serif" w:hAnsi="Arial;sans-serif"/>
          <w:b w:val="false"/>
          <w:color w:val="404040"/>
          <w:sz w:val="14"/>
          <w:u w:val="single"/>
        </w:rPr>
        <w:t>RPMs”</w:t>
      </w:r>
      <w:r>
        <w:rPr>
          <w:color w:val="404040"/>
        </w:rPr>
        <w:t xml:space="preserve"> </w:t>
      </w:r>
      <w:r>
        <w:rPr>
          <w:rFonts w:ascii="Arial;sans-serif" w:hAnsi="Arial;sans-serif"/>
          <w:b w:val="false"/>
          <w:color w:val="404040"/>
          <w:sz w:val="14"/>
        </w:rPr>
        <w:t xml:space="preserve">Revenue Passenger Miles represent one revenue-passenger transported one mile. This includes itinerary and charter flights. The total RPMs equals the number of revenue-passengers transported multiplied by the total distance flown.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ASMs”</w:t>
      </w:r>
      <w:r>
        <w:rPr>
          <w:color w:val="404040"/>
        </w:rPr>
        <w:t xml:space="preserve"> </w:t>
      </w:r>
      <w:r>
        <w:rPr>
          <w:rFonts w:ascii="Arial;sans-serif" w:hAnsi="Arial;sans-serif"/>
          <w:b w:val="false"/>
          <w:color w:val="404040"/>
          <w:sz w:val="14"/>
        </w:rPr>
        <w:t xml:space="preserve">Available Seat Miles represent the number of available seats multiplied by the distance flown. This metric is an indicator of the airline’s capacity. It equals one seat offered for one mile, whether the seat is used. </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Load Factor”</w:t>
      </w:r>
      <w:r>
        <w:rPr>
          <w:color w:val="404040"/>
        </w:rPr>
        <w:t xml:space="preserve"> </w:t>
      </w:r>
      <w:r>
        <w:rPr>
          <w:rFonts w:ascii="Arial;sans-serif" w:hAnsi="Arial;sans-serif"/>
          <w:b w:val="false"/>
          <w:color w:val="404040"/>
          <w:sz w:val="14"/>
        </w:rPr>
        <w:t>equals the number of passengers transported as a percentage of the number of seats offered. It is a measure of the airline’s capacity utilization. This metric considers the total passengers transported and total seats available in itinerary flights only.</w:t>
      </w:r>
    </w:p>
    <w:p>
      <w:pPr>
        <w:pStyle w:val="TextBody"/>
        <w:bidi w:val="0"/>
        <w:spacing w:before="0" w:after="0"/>
        <w:jc w:val="both"/>
        <w:rPr/>
      </w:pPr>
      <w:r>
        <w:rPr/>
      </w:r>
    </w:p>
    <w:p>
      <w:pPr>
        <w:pStyle w:val="TextBody"/>
        <w:bidi w:val="0"/>
        <w:spacing w:lineRule="auto" w:line="288" w:before="0" w:after="0"/>
        <w:ind w:left="0" w:right="0" w:hanging="142"/>
        <w:jc w:val="both"/>
        <w:rPr/>
      </w:pPr>
      <w:r>
        <w:rPr>
          <w:color w:val="404040"/>
        </w:rPr>
        <w:t>●</w:t>
      </w:r>
      <w:r>
        <w:rPr>
          <w:color w:val="404040"/>
          <w:u w:val="single"/>
        </w:rPr>
        <w:t>“</w:t>
      </w:r>
      <w:r>
        <w:rPr>
          <w:rFonts w:ascii="Arial;sans-serif" w:hAnsi="Arial;sans-serif"/>
          <w:b w:val="false"/>
          <w:color w:val="404040"/>
          <w:sz w:val="14"/>
          <w:u w:val="single"/>
        </w:rPr>
        <w:t>Passengers”</w:t>
      </w:r>
      <w:r>
        <w:rPr>
          <w:color w:val="404040"/>
        </w:rPr>
        <w:t xml:space="preserve"> </w:t>
      </w:r>
      <w:r>
        <w:rPr>
          <w:rFonts w:ascii="Arial;sans-serif" w:hAnsi="Arial;sans-serif"/>
          <w:b w:val="false"/>
          <w:color w:val="404040"/>
          <w:sz w:val="14"/>
        </w:rPr>
        <w:t xml:space="preserve">refers to the total number of passengers transported by the airline.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About Grupo Aeroméxico</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www.aeromexico.com</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www.skyteam.com</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6602</Words>
  <Characters>37832</Characters>
  <CharactersWithSpaces>43235</CharactersWithSpaces>
  <Paragraphs>1352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