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6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Murray Aaron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GRUPO AEROMEXICO, S.A.B. DE C.V.</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AV. PASEO DE LA REFORMA 243, 25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CUAUHTEMOC O5</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06500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Grupo Aeromexico, S.A.B. de C.V.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AERO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8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540"/>
              <w:spacing w:after="0" w:line="185" w:lineRule="exact"/>
              <w:rPr>
                <w:sz w:val="20"/>
                <w:szCs w:val="20"/>
                <w:color w:val="auto"/>
              </w:rPr>
            </w:pPr>
            <w:r>
              <w:rPr>
                <w:rFonts w:ascii="Times New Roman" w:cs="Times New Roman" w:eastAsia="Times New Roman" w:hAnsi="Times New Roman"/>
                <w:sz w:val="17"/>
                <w:szCs w:val="17"/>
                <w:color w:val="0000FF"/>
              </w:rPr>
              <w:t>Chief Commercial Officer</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64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9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9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 without nominal value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7"/>
                <w:szCs w:val="17"/>
                <w:color w:val="0000FF"/>
              </w:rPr>
              <w:t>400,000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w:t>
            </w:r>
            <w:r>
              <w:rPr>
                <w:rFonts w:ascii="Times New Roman" w:cs="Times New Roman" w:eastAsia="Times New Roman" w:hAnsi="Times New Roman"/>
                <w:sz w:val="22"/>
                <w:szCs w:val="22"/>
                <w:color w:val="008000"/>
                <w:w w:val="91"/>
                <w:vertAlign w:val="superscript"/>
              </w:rPr>
              <w:t>(1)</w:t>
            </w: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2,168,130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 without nominal value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05/20/2026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7"/>
                <w:szCs w:val="17"/>
                <w:color w:val="0000FF"/>
              </w:rPr>
              <w:t>200,000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1.5221</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1,968,130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 without nominal value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7"/>
                <w:szCs w:val="17"/>
                <w:color w:val="0000FF"/>
              </w:rPr>
              <w:t>250,000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1.5513</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1,718,130</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 without nominal value</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05/21/2026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right"/>
              <w:ind w:right="25"/>
              <w:spacing w:after="0"/>
              <w:rPr>
                <w:sz w:val="20"/>
                <w:szCs w:val="20"/>
                <w:color w:val="auto"/>
              </w:rPr>
            </w:pPr>
            <w:r>
              <w:rPr>
                <w:rFonts w:ascii="Times New Roman" w:cs="Times New Roman" w:eastAsia="Times New Roman" w:hAnsi="Times New Roman"/>
                <w:sz w:val="17"/>
                <w:szCs w:val="17"/>
                <w:color w:val="0000FF"/>
              </w:rPr>
              <w:t>100,000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1.5922</w:t>
            </w:r>
            <w:r>
              <w:rPr>
                <w:rFonts w:ascii="Times New Roman" w:cs="Times New Roman" w:eastAsia="Times New Roman" w:hAnsi="Times New Roman"/>
                <w:sz w:val="22"/>
                <w:szCs w:val="22"/>
                <w:color w:val="008000"/>
                <w:w w:val="95"/>
                <w:vertAlign w:val="superscript"/>
              </w:rPr>
              <w:t>(1)</w:t>
            </w: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1,618,130</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was effected in American Depositary Shares (ADSs), each ADS representing ten common shares, following prior conversion of the reporting person's ordinary shares into ADSs. The number of securities reported in Table I reflects the common shares underlying the ADSs sold. The reported price reflects the U.S. dollar sale price per underlying ordinary share, calculated by dividing the ADS sale price by ten. The reporting person continues to own the same number of ADSs reported in Table II in prior Form 4s, which are not impacted by the sales in this current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reporting person, which are the economic equivalent of 216,813 American Depositary Shares (ADSs).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reporting person, which are the economic equivalent of 196,813 American Depositary Shares (ADSs).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reporting person, which are the economic equivalent of 171,813 American Depositary Shares (ADSs).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reporting person, which are the economic equivalent of 161,813 American Depositary Shares (ADSs).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80"/>
        <w:spacing w:after="0" w:line="272" w:lineRule="auto"/>
        <w:rPr>
          <w:sz w:val="20"/>
          <w:szCs w:val="20"/>
          <w:color w:val="auto"/>
        </w:rPr>
      </w:pPr>
      <w:r>
        <w:rPr>
          <w:rFonts w:ascii="Times New Roman" w:cs="Times New Roman" w:eastAsia="Times New Roman" w:hAnsi="Times New Roman"/>
          <w:sz w:val="13"/>
          <w:szCs w:val="13"/>
          <w:color w:val="008000"/>
        </w:rPr>
        <w:t>Due to the issuer's status as a foreign private issuer pursuant to Rule 3a12-3(b) under the Securities Exchange Act of 1934 (the "Act"), the reporting person's transactions in the issuer's equity securities are exempt from Sections 16(b) and 16(c) of the Act.</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Ernesto Gomez Pombo,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985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Aaron</w:t>
      </w:r>
      <w:r>
        <w:rPr>
          <w:sz w:val="20"/>
          <w:szCs w:val="20"/>
          <w:color w:val="auto"/>
        </w:rPr>
        <w:tab/>
      </w: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James Murray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26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6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20174" TargetMode="External"/><Relationship Id="rId14" Type="http://schemas.openxmlformats.org/officeDocument/2006/relationships/hyperlink" Target="http://www.sec.gov/cgi-bin/browse-edgar?action=getcompany&amp;CIK=00015618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2026-05-22T19:10:06Z</dcterms:created>
  <dcterms:modified xsi:type="dcterms:W3CDTF">2026-05-22T19:10:06Z</dcterms:modified>
</cp:coreProperties>
</file>